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spacing w:before="0" w:beforeAutospacing="0" w:after="0" w:afterAutospacing="0" w:line="800" w:lineRule="exact"/>
        <w:jc w:val="center"/>
        <w:rPr>
          <w:rStyle w:val="7"/>
          <w:rFonts w:cs="Times New Roman" w:asciiTheme="majorEastAsia" w:hAnsiTheme="majorEastAsia" w:eastAsiaTheme="majorEastAsia"/>
          <w:bCs w:val="0"/>
          <w:spacing w:val="-20"/>
          <w:sz w:val="44"/>
          <w:szCs w:val="44"/>
        </w:rPr>
      </w:pPr>
      <w:r>
        <w:rPr>
          <w:rStyle w:val="7"/>
          <w:rFonts w:cs="Times New Roman" w:asciiTheme="majorEastAsia" w:hAnsiTheme="majorEastAsia" w:eastAsiaTheme="majorEastAsia"/>
          <w:bCs w:val="0"/>
          <w:spacing w:val="-20"/>
          <w:sz w:val="44"/>
          <w:szCs w:val="44"/>
        </w:rPr>
        <w:t>20</w:t>
      </w:r>
      <w:r>
        <w:rPr>
          <w:rStyle w:val="7"/>
          <w:rFonts w:hint="eastAsia" w:cs="Times New Roman" w:asciiTheme="majorEastAsia" w:hAnsiTheme="majorEastAsia" w:eastAsiaTheme="majorEastAsia"/>
          <w:bCs w:val="0"/>
          <w:spacing w:val="-20"/>
          <w:sz w:val="44"/>
          <w:szCs w:val="44"/>
        </w:rPr>
        <w:t>2</w:t>
      </w:r>
      <w:r>
        <w:rPr>
          <w:rStyle w:val="7"/>
          <w:rFonts w:hint="eastAsia" w:cs="Times New Roman" w:asciiTheme="majorEastAsia" w:hAnsiTheme="majorEastAsia" w:eastAsiaTheme="majorEastAsia"/>
          <w:bCs w:val="0"/>
          <w:spacing w:val="-20"/>
          <w:sz w:val="44"/>
          <w:szCs w:val="44"/>
          <w:lang w:val="en-US" w:eastAsia="zh-CN"/>
        </w:rPr>
        <w:t>3</w:t>
      </w:r>
      <w:r>
        <w:rPr>
          <w:rStyle w:val="7"/>
          <w:rFonts w:cs="Times New Roman" w:asciiTheme="majorEastAsia" w:hAnsiTheme="majorEastAsia" w:eastAsiaTheme="majorEastAsia"/>
          <w:bCs w:val="0"/>
          <w:spacing w:val="-20"/>
          <w:sz w:val="44"/>
          <w:szCs w:val="44"/>
        </w:rPr>
        <w:t>年度</w:t>
      </w:r>
      <w:r>
        <w:rPr>
          <w:rStyle w:val="7"/>
          <w:rFonts w:hint="eastAsia" w:cs="Times New Roman" w:asciiTheme="majorEastAsia" w:hAnsiTheme="majorEastAsia" w:eastAsiaTheme="majorEastAsia"/>
          <w:bCs w:val="0"/>
          <w:spacing w:val="-20"/>
          <w:sz w:val="44"/>
          <w:szCs w:val="44"/>
        </w:rPr>
        <w:t>生态环境局新晃分局</w:t>
      </w:r>
      <w:r>
        <w:rPr>
          <w:rStyle w:val="7"/>
          <w:rFonts w:cs="Times New Roman" w:asciiTheme="majorEastAsia" w:hAnsiTheme="majorEastAsia" w:eastAsiaTheme="majorEastAsia"/>
          <w:bCs w:val="0"/>
          <w:spacing w:val="-20"/>
          <w:sz w:val="44"/>
          <w:szCs w:val="44"/>
        </w:rPr>
        <w:t>整体支出绩效自评报告</w:t>
      </w:r>
    </w:p>
    <w:p>
      <w:pPr>
        <w:spacing w:before="240" w:line="560" w:lineRule="exact"/>
        <w:ind w:firstLine="420" w:firstLineChars="200"/>
        <w:jc w:val="left"/>
        <w:rPr>
          <w:kern w:val="0"/>
        </w:rPr>
      </w:pPr>
      <w:r>
        <w:t xml:space="preserve">   </w:t>
      </w:r>
      <w:r>
        <w:rPr>
          <w:rFonts w:eastAsia="仿宋_GB2312"/>
          <w:kern w:val="0"/>
          <w:sz w:val="32"/>
          <w:szCs w:val="32"/>
        </w:rPr>
        <w:t>一、部门（单位）基本概况</w:t>
      </w:r>
    </w:p>
    <w:p>
      <w:pPr>
        <w:widowControl/>
        <w:wordWrap w:val="0"/>
        <w:snapToGrid w:val="0"/>
        <w:spacing w:line="560" w:lineRule="atLeast"/>
        <w:ind w:firstLine="640" w:firstLineChars="200"/>
        <w:jc w:val="left"/>
        <w:rPr>
          <w:rFonts w:ascii="仿宋_GB2312" w:hAnsi="宋体" w:eastAsia="仿宋_GB2312" w:cs="宋体"/>
          <w:color w:val="333333"/>
          <w:sz w:val="32"/>
          <w:szCs w:val="32"/>
        </w:rPr>
      </w:pPr>
      <w:r>
        <w:rPr>
          <w:rFonts w:hint="eastAsia" w:ascii="仿宋_GB2312" w:hAnsi="宋体" w:eastAsia="仿宋_GB2312" w:cs="宋体"/>
          <w:color w:val="333333"/>
          <w:kern w:val="0"/>
          <w:sz w:val="32"/>
          <w:szCs w:val="32"/>
        </w:rPr>
        <w:t>1、职能职责</w:t>
      </w:r>
    </w:p>
    <w:p>
      <w:pPr>
        <w:ind w:left="271" w:leftChars="129" w:firstLine="640" w:firstLineChars="200"/>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1）贯彻执行国家环境保护的方针、政策和法律、法规，拟订全县环境保护规章制度和环境保护技术政策并监督实施。组织编制全县环境功能区划，组织拟订地方环境保护标准，组织拟订并监督实施重点区域、流域污染防治规划和饮用水水源地环境保护规划，组织实施环境友好型社会建设目标，参与制定全县主体功能区规划；</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2）负责重大环境问题的统筹协调和监督管理。牵头协调重特大环境污染事故和生态破坏事件的调查处理，指导协调全县重特大突出环境事件的应急、预警工作，协调解决全市跨区域环境污染纠纷，统筹协调全县重点流域、区域污染防治工作，依法负责排污费的征收、减缓免及稽查；</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（3）排放总量控制和排污许可证制度，提出实施总量控制的污染物名称和控制指标，督查、督办、核查全县污染物减排任务完成情况，实施环境保护目标责任制、总量减排考核并公布考核结果。</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4）承担从源头上预防、控制环境污染和环境破坏的责任。受县政府委托对重大经济和技术政策、发展规划以及重大经济开发计划进行环境影响评价，对涉及环境保护的地方性法规、规章草案提出有关环境影响方面的建议，按国家和省里规定审核审批全市重大开发建设区域、规划、项目环境影响评价文件；</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5）负责全县环境污染防治的监督管理。制定水体、大气、土壤、噪声、光、恶臭、固体废物、化学品、机动车等的污染防治管理制度并组织实施，负责污染源的限期治理工作，会同有关部门监督管理饮用水水源地环境保护工作。组织指导全市城镇和农村的环境综合整治工作；</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6）指导、协调、监督全县生态保护工作。拟订全县生态保护规划，组织评估生态环境质量状况，监督对生态环境有影响的自然资源开发利用活动、重要生态环境建设和生态破坏恢复工作。指导、协调、监督各种类型的自然保护区、风景名胜区、森林公园的环境保护工作，协调和监督野生动植物保护、湿地环境保护、荒漠化防治工作。监督指导农村生态环境保护，监督生物技术环境安全，牵头生物物种（含遗传资源）工作，组织协调生物多样性保护；</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7）负责全县环境监测和信息发布。组织实施环境质量监测和污染源监督性监测。组织对全县环境质量状况进行调查评估、预测预警，组织建设和管理全市环境监测网和环境信息网，统一发布全县环境综合性报告和重大环境信息；</w:t>
      </w:r>
    </w:p>
    <w:p>
      <w:pPr>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　　（8）组织、指导和协调全市环境保护宣传教育工作，制订并组织实施全市环境保护宣传教育纳要，开展生态文明建设和环境友好型社会建设的有关宣传教育工作，推动社会公众和社会组织参与环境保护；</w:t>
      </w:r>
    </w:p>
    <w:p>
      <w:pPr>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　　（9）承办县人民政府交办的其他事项等。</w:t>
      </w:r>
    </w:p>
    <w:p>
      <w:pPr>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  2、机构设置</w:t>
      </w:r>
    </w:p>
    <w:p>
      <w:pPr>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新晃县环境保护局共有七个内设机构及两个非独立核算的二级预算单位，分别是</w:t>
      </w:r>
      <w:r>
        <w:rPr>
          <w:rFonts w:hint="eastAsia" w:ascii="仿宋_GB2312" w:hAnsi="新宋体" w:eastAsia="仿宋_GB2312" w:cs="宋体"/>
          <w:color w:val="000000"/>
          <w:sz w:val="32"/>
          <w:szCs w:val="32"/>
          <w:lang w:eastAsia="zh-CN"/>
        </w:rPr>
        <w:t>办公室、污防股、行政审批股、督察协调股和综合行政执法大队、生态环境监测站</w:t>
      </w:r>
      <w:r>
        <w:rPr>
          <w:rFonts w:hint="eastAsia" w:ascii="仿宋_GB2312" w:hAnsi="新宋体" w:eastAsia="仿宋_GB2312" w:cs="宋体"/>
          <w:color w:val="000000"/>
          <w:sz w:val="32"/>
          <w:szCs w:val="32"/>
        </w:rPr>
        <w:t>。单位核定总编制数为27人，其中：行政6人，事业21人。实有在职人数2</w:t>
      </w:r>
      <w:r>
        <w:rPr>
          <w:rFonts w:hint="eastAsia" w:ascii="仿宋_GB2312" w:hAnsi="新宋体" w:eastAsia="仿宋_GB2312" w:cs="宋体"/>
          <w:color w:val="000000"/>
          <w:sz w:val="32"/>
          <w:szCs w:val="32"/>
          <w:lang w:val="en-US" w:eastAsia="zh-CN"/>
        </w:rPr>
        <w:t>1</w:t>
      </w:r>
      <w:r>
        <w:rPr>
          <w:rFonts w:hint="eastAsia" w:ascii="仿宋_GB2312" w:hAnsi="新宋体" w:eastAsia="仿宋_GB2312" w:cs="宋体"/>
          <w:color w:val="000000"/>
          <w:sz w:val="32"/>
          <w:szCs w:val="32"/>
        </w:rPr>
        <w:t>人，其中：行政6人，事业</w:t>
      </w:r>
      <w:r>
        <w:rPr>
          <w:rFonts w:hint="eastAsia" w:ascii="仿宋_GB2312" w:hAnsi="新宋体" w:eastAsia="仿宋_GB2312" w:cs="宋体"/>
          <w:color w:val="000000"/>
          <w:sz w:val="32"/>
          <w:szCs w:val="32"/>
          <w:lang w:val="en-US" w:eastAsia="zh-CN"/>
        </w:rPr>
        <w:t>15</w:t>
      </w:r>
      <w:r>
        <w:rPr>
          <w:rFonts w:hint="eastAsia" w:ascii="仿宋_GB2312" w:hAnsi="新宋体" w:eastAsia="仿宋_GB2312" w:cs="宋体"/>
          <w:color w:val="000000"/>
          <w:sz w:val="32"/>
          <w:szCs w:val="32"/>
        </w:rPr>
        <w:t>人，年末离退休人员1</w:t>
      </w:r>
      <w:r>
        <w:rPr>
          <w:rFonts w:hint="eastAsia" w:ascii="仿宋_GB2312" w:hAnsi="新宋体" w:eastAsia="仿宋_GB2312" w:cs="宋体"/>
          <w:color w:val="000000"/>
          <w:sz w:val="32"/>
          <w:szCs w:val="32"/>
          <w:lang w:val="en-US" w:eastAsia="zh-CN"/>
        </w:rPr>
        <w:t>8</w:t>
      </w:r>
      <w:r>
        <w:rPr>
          <w:rFonts w:hint="eastAsia" w:ascii="仿宋_GB2312" w:hAnsi="新宋体" w:eastAsia="仿宋_GB2312" w:cs="宋体"/>
          <w:color w:val="000000"/>
          <w:sz w:val="32"/>
          <w:szCs w:val="32"/>
        </w:rPr>
        <w:t>人。</w:t>
      </w:r>
    </w:p>
    <w:p>
      <w:pPr>
        <w:contextualSpacing/>
        <w:rPr>
          <w:rFonts w:hint="eastAsia" w:ascii="仿宋_GB2312" w:hAnsi="新宋体" w:eastAsia="仿宋_GB2312" w:cs="宋体"/>
          <w:color w:val="000000"/>
          <w:sz w:val="32"/>
          <w:szCs w:val="32"/>
          <w:lang w:eastAsia="zh-CN"/>
        </w:rPr>
      </w:pPr>
      <w:r>
        <w:rPr>
          <w:rFonts w:hint="eastAsia" w:ascii="仿宋_GB2312" w:hAnsi="新宋体" w:eastAsia="仿宋_GB2312" w:cs="宋体"/>
          <w:color w:val="000000"/>
          <w:sz w:val="32"/>
          <w:szCs w:val="32"/>
          <w:lang w:eastAsia="zh-CN"/>
        </w:rPr>
        <w:t>202</w:t>
      </w:r>
      <w:r>
        <w:rPr>
          <w:rFonts w:hint="eastAsia" w:ascii="仿宋_GB2312" w:hAnsi="新宋体" w:eastAsia="仿宋_GB2312" w:cs="宋体"/>
          <w:color w:val="000000"/>
          <w:sz w:val="32"/>
          <w:szCs w:val="32"/>
          <w:lang w:val="en-US" w:eastAsia="zh-CN"/>
        </w:rPr>
        <w:t>3</w:t>
      </w:r>
      <w:r>
        <w:rPr>
          <w:rFonts w:hint="eastAsia" w:ascii="仿宋_GB2312" w:hAnsi="新宋体" w:eastAsia="仿宋_GB2312" w:cs="宋体"/>
          <w:color w:val="000000"/>
          <w:sz w:val="32"/>
          <w:szCs w:val="32"/>
          <w:lang w:eastAsia="zh-CN"/>
        </w:rPr>
        <w:t>年度财政</w:t>
      </w:r>
      <w:r>
        <w:rPr>
          <w:rFonts w:hint="eastAsia" w:ascii="仿宋_GB2312" w:hAnsi="新宋体" w:eastAsia="仿宋_GB2312" w:cs="宋体"/>
          <w:color w:val="000000"/>
          <w:sz w:val="32"/>
          <w:szCs w:val="32"/>
          <w:lang w:val="en-US" w:eastAsia="zh-CN"/>
        </w:rPr>
        <w:t>预算</w:t>
      </w:r>
      <w:r>
        <w:rPr>
          <w:rFonts w:hint="eastAsia" w:ascii="仿宋_GB2312" w:hAnsi="新宋体" w:eastAsia="仿宋_GB2312" w:cs="宋体"/>
          <w:color w:val="000000"/>
          <w:sz w:val="32"/>
          <w:szCs w:val="32"/>
          <w:lang w:eastAsia="zh-CN"/>
        </w:rPr>
        <w:t>收入444.73万元，支出444.73万元，无结余。年末固定资产</w:t>
      </w:r>
      <w:r>
        <w:rPr>
          <w:rFonts w:hint="eastAsia" w:ascii="仿宋_GB2312" w:hAnsi="新宋体" w:eastAsia="仿宋_GB2312" w:cs="宋体"/>
          <w:color w:val="000000"/>
          <w:sz w:val="32"/>
          <w:szCs w:val="32"/>
          <w:lang w:val="en-US" w:eastAsia="zh-CN"/>
        </w:rPr>
        <w:t>327.81</w:t>
      </w:r>
      <w:r>
        <w:rPr>
          <w:rFonts w:hint="eastAsia" w:ascii="仿宋_GB2312" w:hAnsi="新宋体" w:eastAsia="仿宋_GB2312" w:cs="宋体"/>
          <w:color w:val="000000"/>
          <w:sz w:val="32"/>
          <w:szCs w:val="32"/>
          <w:lang w:eastAsia="zh-CN"/>
        </w:rPr>
        <w:t>万元，其中：房屋及构筑物174.4万元、设备</w:t>
      </w:r>
      <w:r>
        <w:rPr>
          <w:rFonts w:hint="eastAsia" w:ascii="仿宋_GB2312" w:hAnsi="新宋体" w:eastAsia="仿宋_GB2312" w:cs="宋体"/>
          <w:color w:val="000000"/>
          <w:sz w:val="32"/>
          <w:szCs w:val="32"/>
          <w:lang w:val="en-US" w:eastAsia="zh-CN"/>
        </w:rPr>
        <w:t>142.62</w:t>
      </w:r>
      <w:r>
        <w:rPr>
          <w:rFonts w:hint="eastAsia" w:ascii="仿宋_GB2312" w:hAnsi="新宋体" w:eastAsia="仿宋_GB2312" w:cs="宋体"/>
          <w:color w:val="000000"/>
          <w:sz w:val="32"/>
          <w:szCs w:val="32"/>
          <w:lang w:eastAsia="zh-CN"/>
        </w:rPr>
        <w:t>万元、家具用具10.79万元。</w:t>
      </w:r>
    </w:p>
    <w:p>
      <w:pPr>
        <w:contextualSpacing/>
        <w:rPr>
          <w:rFonts w:hint="eastAsia" w:ascii="仿宋_GB2312" w:hAnsi="新宋体" w:eastAsia="仿宋_GB2312" w:cs="宋体"/>
          <w:color w:val="000000"/>
          <w:sz w:val="32"/>
          <w:szCs w:val="32"/>
          <w:lang w:eastAsia="zh-CN"/>
        </w:rPr>
      </w:pPr>
      <w:r>
        <w:rPr>
          <w:rFonts w:hint="eastAsia" w:ascii="仿宋_GB2312" w:hAnsi="新宋体" w:eastAsia="仿宋_GB2312" w:cs="宋体"/>
          <w:color w:val="000000"/>
          <w:sz w:val="32"/>
          <w:szCs w:val="32"/>
          <w:lang w:eastAsia="zh-CN"/>
        </w:rPr>
        <w:t>我局财务管理制度健全，执行制度严格合规，会计核算符合相关规定，资金专款专用，资金支付依据和开支标准合法合规，并建立了相关内部控制制度，对日常财务活动监督管理到位。</w:t>
      </w:r>
    </w:p>
    <w:p>
      <w:pPr>
        <w:contextualSpacing/>
        <w:rPr>
          <w:rFonts w:hint="eastAsia" w:ascii="仿宋_GB2312" w:hAnsi="新宋体" w:eastAsia="仿宋_GB2312" w:cs="宋体"/>
          <w:color w:val="000000"/>
          <w:sz w:val="32"/>
          <w:szCs w:val="32"/>
          <w:lang w:eastAsia="zh-CN"/>
        </w:rPr>
      </w:pPr>
      <w:bookmarkStart w:id="0" w:name="_GoBack"/>
      <w:bookmarkEnd w:id="0"/>
    </w:p>
    <w:p>
      <w:pPr>
        <w:contextualSpacing/>
        <w:rPr>
          <w:rFonts w:hint="eastAsia" w:ascii="仿宋_GB2312" w:hAnsi="新宋体" w:eastAsia="仿宋_GB2312" w:cs="宋体"/>
          <w:color w:val="000000"/>
          <w:sz w:val="32"/>
          <w:szCs w:val="32"/>
          <w:lang w:eastAsia="zh-CN"/>
        </w:rPr>
      </w:pPr>
      <w:r>
        <w:rPr>
          <w:rFonts w:hint="eastAsia" w:ascii="仿宋_GB2312" w:hAnsi="新宋体" w:eastAsia="仿宋_GB2312" w:cs="宋体"/>
          <w:color w:val="000000"/>
          <w:sz w:val="32"/>
          <w:szCs w:val="32"/>
          <w:lang w:eastAsia="zh-CN"/>
        </w:rPr>
        <w:t>二、部门（单位）整体支出绩效状况</w:t>
      </w:r>
    </w:p>
    <w:p>
      <w:pPr>
        <w:contextualSpacing/>
        <w:rPr>
          <w:rFonts w:hint="default" w:ascii="仿宋_GB2312" w:eastAsia="仿宋_GB2312"/>
          <w:kern w:val="0"/>
          <w:sz w:val="32"/>
          <w:szCs w:val="32"/>
          <w:lang w:val="en-US"/>
        </w:rPr>
      </w:pPr>
      <w:r>
        <w:rPr>
          <w:rFonts w:hint="eastAsia" w:ascii="仿宋_GB2312" w:hAnsi="新宋体" w:eastAsia="仿宋_GB2312" w:cs="宋体"/>
          <w:color w:val="000000"/>
          <w:sz w:val="32"/>
          <w:szCs w:val="32"/>
          <w:lang w:eastAsia="zh-CN"/>
        </w:rPr>
        <w:t>我局202</w:t>
      </w:r>
      <w:r>
        <w:rPr>
          <w:rFonts w:hint="eastAsia" w:ascii="仿宋_GB2312" w:hAnsi="新宋体" w:eastAsia="仿宋_GB2312" w:cs="宋体"/>
          <w:color w:val="000000"/>
          <w:sz w:val="32"/>
          <w:szCs w:val="32"/>
          <w:lang w:val="en-US" w:eastAsia="zh-CN"/>
        </w:rPr>
        <w:t>3</w:t>
      </w:r>
      <w:r>
        <w:rPr>
          <w:rFonts w:hint="eastAsia" w:ascii="仿宋_GB2312" w:hAnsi="新宋体" w:eastAsia="仿宋_GB2312" w:cs="宋体"/>
          <w:color w:val="000000"/>
          <w:sz w:val="32"/>
          <w:szCs w:val="32"/>
          <w:lang w:eastAsia="zh-CN"/>
        </w:rPr>
        <w:t>年年初收入预算</w:t>
      </w:r>
      <w:r>
        <w:rPr>
          <w:rFonts w:hint="eastAsia" w:ascii="仿宋_GB2312" w:hAnsi="新宋体" w:eastAsia="仿宋_GB2312" w:cs="宋体"/>
          <w:color w:val="000000"/>
          <w:sz w:val="32"/>
          <w:szCs w:val="32"/>
          <w:lang w:val="en-US" w:eastAsia="zh-CN"/>
        </w:rPr>
        <w:t>740.86</w:t>
      </w:r>
      <w:r>
        <w:rPr>
          <w:rFonts w:hint="eastAsia" w:ascii="仿宋_GB2312" w:hAnsi="新宋体" w:eastAsia="仿宋_GB2312" w:cs="宋体"/>
          <w:color w:val="000000"/>
          <w:sz w:val="32"/>
          <w:szCs w:val="32"/>
          <w:lang w:eastAsia="zh-CN"/>
        </w:rPr>
        <w:t>万元（市级</w:t>
      </w:r>
      <w:r>
        <w:rPr>
          <w:rFonts w:hint="eastAsia" w:ascii="仿宋_GB2312" w:hAnsi="新宋体" w:eastAsia="仿宋_GB2312" w:cs="宋体"/>
          <w:color w:val="000000"/>
          <w:sz w:val="32"/>
          <w:szCs w:val="32"/>
          <w:lang w:val="en-US" w:eastAsia="zh-CN"/>
        </w:rPr>
        <w:t>296.13</w:t>
      </w:r>
      <w:r>
        <w:rPr>
          <w:rFonts w:hint="eastAsia" w:ascii="仿宋_GB2312" w:hAnsi="新宋体" w:eastAsia="仿宋_GB2312" w:cs="宋体"/>
          <w:color w:val="000000"/>
          <w:sz w:val="32"/>
          <w:szCs w:val="32"/>
          <w:lang w:eastAsia="zh-CN"/>
        </w:rPr>
        <w:t>万元，县级</w:t>
      </w:r>
      <w:r>
        <w:rPr>
          <w:rFonts w:hint="eastAsia" w:ascii="仿宋_GB2312" w:hAnsi="新宋体" w:eastAsia="仿宋_GB2312" w:cs="宋体"/>
          <w:color w:val="000000"/>
          <w:sz w:val="32"/>
          <w:szCs w:val="32"/>
          <w:lang w:val="en-US" w:eastAsia="zh-CN"/>
        </w:rPr>
        <w:t>444.73</w:t>
      </w:r>
      <w:r>
        <w:rPr>
          <w:rFonts w:hint="eastAsia" w:ascii="仿宋_GB2312" w:hAnsi="新宋体" w:eastAsia="仿宋_GB2312" w:cs="宋体"/>
          <w:color w:val="000000"/>
          <w:sz w:val="32"/>
          <w:szCs w:val="32"/>
          <w:lang w:eastAsia="zh-CN"/>
        </w:rPr>
        <w:t>万元），其中：一般公共预算财政拨款收入</w:t>
      </w:r>
      <w:r>
        <w:rPr>
          <w:rFonts w:hint="eastAsia" w:eastAsia="仿宋_GB2312"/>
          <w:sz w:val="32"/>
          <w:szCs w:val="32"/>
          <w:lang w:val="en-US" w:eastAsia="zh-CN"/>
        </w:rPr>
        <w:t>740.86</w:t>
      </w:r>
      <w:r>
        <w:rPr>
          <w:rFonts w:hint="eastAsia" w:eastAsia="仿宋_GB2312"/>
          <w:sz w:val="32"/>
          <w:szCs w:val="32"/>
          <w:lang w:eastAsia="zh-CN"/>
        </w:rPr>
        <w:t>万元，上级财政补助0万元。年初支出总预算</w:t>
      </w:r>
      <w:r>
        <w:rPr>
          <w:rFonts w:hint="eastAsia" w:eastAsia="仿宋_GB2312"/>
          <w:sz w:val="32"/>
          <w:szCs w:val="32"/>
          <w:lang w:val="en-US" w:eastAsia="zh-CN"/>
        </w:rPr>
        <w:t>740.86</w:t>
      </w:r>
      <w:r>
        <w:rPr>
          <w:rFonts w:hint="eastAsia" w:eastAsia="仿宋_GB2312"/>
          <w:sz w:val="32"/>
          <w:szCs w:val="32"/>
          <w:lang w:eastAsia="zh-CN"/>
        </w:rPr>
        <w:t>万元（市级</w:t>
      </w:r>
      <w:r>
        <w:rPr>
          <w:rFonts w:hint="eastAsia" w:eastAsia="仿宋_GB2312"/>
          <w:sz w:val="32"/>
          <w:szCs w:val="32"/>
          <w:lang w:val="en-US" w:eastAsia="zh-CN"/>
        </w:rPr>
        <w:t>296.13</w:t>
      </w:r>
      <w:r>
        <w:rPr>
          <w:rFonts w:hint="eastAsia" w:eastAsia="仿宋_GB2312"/>
          <w:sz w:val="32"/>
          <w:szCs w:val="32"/>
          <w:lang w:eastAsia="zh-CN"/>
        </w:rPr>
        <w:t>万元，县级</w:t>
      </w:r>
      <w:r>
        <w:rPr>
          <w:rFonts w:hint="eastAsia" w:eastAsia="仿宋_GB2312"/>
          <w:sz w:val="32"/>
          <w:szCs w:val="32"/>
          <w:lang w:val="en-US" w:eastAsia="zh-CN"/>
        </w:rPr>
        <w:t>444.73</w:t>
      </w:r>
      <w:r>
        <w:rPr>
          <w:rFonts w:hint="eastAsia" w:eastAsia="仿宋_GB2312"/>
          <w:sz w:val="32"/>
          <w:szCs w:val="32"/>
          <w:lang w:eastAsia="zh-CN"/>
        </w:rPr>
        <w:t>万元），其中：基本支出</w:t>
      </w:r>
      <w:r>
        <w:rPr>
          <w:rFonts w:hint="eastAsia" w:eastAsia="仿宋_GB2312"/>
          <w:sz w:val="32"/>
          <w:szCs w:val="32"/>
          <w:lang w:val="en-US" w:eastAsia="zh-CN"/>
        </w:rPr>
        <w:t>290.13</w:t>
      </w:r>
      <w:r>
        <w:rPr>
          <w:rFonts w:hint="eastAsia" w:eastAsia="仿宋_GB2312"/>
          <w:sz w:val="32"/>
          <w:szCs w:val="32"/>
          <w:lang w:eastAsia="zh-CN"/>
        </w:rPr>
        <w:t>万元；项目支出</w:t>
      </w:r>
      <w:r>
        <w:rPr>
          <w:rFonts w:hint="eastAsia" w:eastAsia="仿宋_GB2312"/>
          <w:sz w:val="32"/>
          <w:szCs w:val="32"/>
          <w:lang w:val="en-US" w:eastAsia="zh-CN"/>
        </w:rPr>
        <w:t>450.73</w:t>
      </w:r>
      <w:r>
        <w:rPr>
          <w:rFonts w:hint="eastAsia" w:ascii="仿宋_GB2312" w:hAnsi="微软雅黑" w:eastAsia="仿宋_GB2312"/>
          <w:color w:val="535353"/>
          <w:sz w:val="32"/>
          <w:szCs w:val="32"/>
          <w:shd w:val="clear" w:color="auto" w:fill="FFFFFF"/>
        </w:rPr>
        <w:t> </w:t>
      </w:r>
      <w:r>
        <w:rPr>
          <w:rFonts w:hint="eastAsia" w:eastAsia="仿宋_GB2312"/>
          <w:sz w:val="32"/>
          <w:szCs w:val="32"/>
          <w:lang w:eastAsia="zh-CN"/>
        </w:rPr>
        <w:t>万元</w:t>
      </w:r>
      <w:r>
        <w:rPr>
          <w:rFonts w:hint="eastAsia" w:ascii="仿宋_GB2312" w:eastAsia="仿宋_GB2312"/>
          <w:kern w:val="0"/>
          <w:sz w:val="32"/>
          <w:szCs w:val="32"/>
        </w:rPr>
        <w:t>。</w:t>
      </w:r>
    </w:p>
    <w:p>
      <w:pPr>
        <w:ind w:firstLine="640" w:firstLineChars="200"/>
        <w:contextualSpacing/>
        <w:rPr>
          <w:rFonts w:ascii="仿宋_GB2312" w:hAnsi="Helvetica" w:eastAsia="仿宋_GB2312"/>
          <w:color w:val="333333"/>
          <w:sz w:val="32"/>
          <w:szCs w:val="32"/>
          <w:shd w:val="clear" w:color="auto" w:fill="FFFFFF"/>
        </w:rPr>
      </w:pPr>
      <w:r>
        <w:rPr>
          <w:rFonts w:hint="eastAsia" w:eastAsia="仿宋_GB2312"/>
          <w:sz w:val="32"/>
          <w:szCs w:val="32"/>
          <w:lang w:eastAsia="zh-CN"/>
        </w:rPr>
        <w:t>202</w:t>
      </w:r>
      <w:r>
        <w:rPr>
          <w:rFonts w:hint="eastAsia" w:eastAsia="仿宋_GB2312"/>
          <w:sz w:val="32"/>
          <w:szCs w:val="32"/>
          <w:lang w:val="en-US" w:eastAsia="zh-CN"/>
        </w:rPr>
        <w:t>3</w:t>
      </w:r>
      <w:r>
        <w:rPr>
          <w:rFonts w:hint="eastAsia" w:eastAsia="仿宋_GB2312"/>
          <w:sz w:val="32"/>
          <w:szCs w:val="32"/>
          <w:lang w:eastAsia="zh-CN"/>
        </w:rPr>
        <w:t>年我局决算收入</w:t>
      </w:r>
      <w:r>
        <w:rPr>
          <w:rFonts w:hint="eastAsia" w:eastAsia="仿宋_GB2312"/>
          <w:sz w:val="32"/>
          <w:szCs w:val="32"/>
          <w:lang w:val="en-US" w:eastAsia="zh-CN"/>
        </w:rPr>
        <w:t>961.3</w:t>
      </w:r>
      <w:r>
        <w:rPr>
          <w:rFonts w:hint="eastAsia" w:eastAsia="仿宋_GB2312"/>
          <w:sz w:val="32"/>
          <w:szCs w:val="32"/>
          <w:lang w:eastAsia="zh-CN"/>
        </w:rPr>
        <w:t>万元，全部为一般公共预算</w:t>
      </w:r>
      <w:r>
        <w:rPr>
          <w:rFonts w:hint="eastAsia" w:ascii="仿宋_GB2312" w:eastAsia="仿宋_GB2312"/>
          <w:kern w:val="0"/>
          <w:sz w:val="32"/>
          <w:szCs w:val="32"/>
        </w:rPr>
        <w:t>财政拨款收入，支出</w:t>
      </w:r>
      <w:r>
        <w:rPr>
          <w:rFonts w:hint="eastAsia" w:ascii="仿宋_GB2312" w:eastAsia="仿宋_GB2312"/>
          <w:kern w:val="0"/>
          <w:sz w:val="32"/>
          <w:szCs w:val="32"/>
          <w:lang w:val="en-US" w:eastAsia="zh-CN"/>
        </w:rPr>
        <w:t>961.3</w:t>
      </w:r>
      <w:r>
        <w:rPr>
          <w:rFonts w:hint="eastAsia" w:ascii="仿宋_GB2312" w:eastAsia="仿宋_GB2312"/>
          <w:kern w:val="0"/>
          <w:sz w:val="32"/>
          <w:szCs w:val="32"/>
        </w:rPr>
        <w:t>万元，基本支出</w:t>
      </w:r>
      <w:r>
        <w:rPr>
          <w:rFonts w:hint="eastAsia" w:ascii="仿宋_GB2312" w:eastAsia="仿宋_GB2312"/>
          <w:kern w:val="0"/>
          <w:sz w:val="32"/>
          <w:szCs w:val="32"/>
          <w:lang w:val="en-US" w:eastAsia="zh-CN"/>
        </w:rPr>
        <w:t>869.3</w:t>
      </w:r>
      <w:r>
        <w:rPr>
          <w:rFonts w:hint="eastAsia" w:ascii="仿宋_GB2312" w:eastAsia="仿宋_GB2312"/>
          <w:kern w:val="0"/>
          <w:sz w:val="32"/>
          <w:szCs w:val="32"/>
        </w:rPr>
        <w:t>万元，</w:t>
      </w:r>
      <w:r>
        <w:rPr>
          <w:rFonts w:hint="eastAsia" w:ascii="仿宋_GB2312" w:hAnsi="Helvetica" w:eastAsia="仿宋_GB2312"/>
          <w:color w:val="333333"/>
          <w:sz w:val="32"/>
          <w:szCs w:val="32"/>
          <w:shd w:val="clear" w:color="auto" w:fill="FFFFFF"/>
        </w:rPr>
        <w:t>其中人员经费</w:t>
      </w:r>
      <w:r>
        <w:rPr>
          <w:rFonts w:hint="eastAsia" w:ascii="仿宋_GB2312" w:hAnsi="Helvetica" w:eastAsia="仿宋_GB2312"/>
          <w:color w:val="333333"/>
          <w:sz w:val="32"/>
          <w:szCs w:val="32"/>
          <w:shd w:val="clear" w:color="auto" w:fill="FFFFFF"/>
          <w:lang w:val="en-US" w:eastAsia="zh-CN"/>
        </w:rPr>
        <w:t>351.07</w:t>
      </w:r>
      <w:r>
        <w:rPr>
          <w:rFonts w:hint="eastAsia" w:ascii="仿宋_GB2312" w:hAnsi="Helvetica" w:eastAsia="仿宋_GB2312"/>
          <w:color w:val="333333"/>
          <w:sz w:val="32"/>
          <w:szCs w:val="32"/>
          <w:shd w:val="clear" w:color="auto" w:fill="FFFFFF"/>
        </w:rPr>
        <w:t>万元，日常公用经费</w:t>
      </w:r>
      <w:r>
        <w:rPr>
          <w:rFonts w:hint="eastAsia" w:ascii="仿宋_GB2312" w:hAnsi="Helvetica" w:eastAsia="仿宋_GB2312"/>
          <w:color w:val="333333"/>
          <w:sz w:val="32"/>
          <w:szCs w:val="32"/>
          <w:shd w:val="clear" w:color="auto" w:fill="FFFFFF"/>
          <w:lang w:val="en-US" w:eastAsia="zh-CN"/>
        </w:rPr>
        <w:t>518.23</w:t>
      </w:r>
      <w:r>
        <w:rPr>
          <w:rFonts w:hint="eastAsia" w:ascii="仿宋_GB2312" w:hAnsi="Helvetica" w:eastAsia="仿宋_GB2312"/>
          <w:color w:val="333333"/>
          <w:sz w:val="32"/>
          <w:szCs w:val="32"/>
          <w:shd w:val="clear" w:color="auto" w:fill="FFFFFF"/>
        </w:rPr>
        <w:t>万元。“三公经费”</w:t>
      </w:r>
      <w:r>
        <w:rPr>
          <w:rFonts w:hint="eastAsia" w:ascii="仿宋_GB2312" w:hAnsi="Helvetica" w:eastAsia="仿宋_GB2312"/>
          <w:color w:val="333333"/>
          <w:sz w:val="32"/>
          <w:szCs w:val="32"/>
          <w:shd w:val="clear" w:color="auto" w:fill="FFFFFF"/>
          <w:lang w:val="en-US" w:eastAsia="zh-CN"/>
        </w:rPr>
        <w:t>1.3</w:t>
      </w:r>
      <w:r>
        <w:rPr>
          <w:rFonts w:hint="eastAsia" w:ascii="仿宋_GB2312" w:hAnsi="Helvetica" w:eastAsia="仿宋_GB2312"/>
          <w:color w:val="333333"/>
          <w:sz w:val="32"/>
          <w:szCs w:val="32"/>
          <w:shd w:val="clear" w:color="auto" w:fill="FFFFFF"/>
        </w:rPr>
        <w:t>万元，其中：公务接待费支出</w:t>
      </w:r>
      <w:r>
        <w:rPr>
          <w:rFonts w:hint="eastAsia" w:ascii="仿宋_GB2312" w:hAnsi="Helvetica" w:eastAsia="仿宋_GB2312"/>
          <w:color w:val="333333"/>
          <w:sz w:val="32"/>
          <w:szCs w:val="32"/>
          <w:shd w:val="clear" w:color="auto" w:fill="FFFFFF"/>
          <w:lang w:val="en-US" w:eastAsia="zh-CN"/>
        </w:rPr>
        <w:t>1.3</w:t>
      </w:r>
      <w:r>
        <w:rPr>
          <w:rFonts w:hint="eastAsia" w:ascii="仿宋_GB2312" w:hAnsi="Helvetica" w:eastAsia="仿宋_GB2312"/>
          <w:color w:val="333333"/>
          <w:sz w:val="32"/>
          <w:szCs w:val="32"/>
          <w:shd w:val="clear" w:color="auto" w:fill="FFFFFF"/>
        </w:rPr>
        <w:t>万元，公务用车运行维护费0万元，全年无因公出国(境)费用。</w:t>
      </w:r>
      <w:r>
        <w:rPr>
          <w:rFonts w:hint="eastAsia" w:ascii="仿宋_GB2312" w:eastAsia="仿宋_GB2312"/>
          <w:kern w:val="0"/>
          <w:sz w:val="32"/>
          <w:szCs w:val="32"/>
        </w:rPr>
        <w:t>项目支出</w:t>
      </w:r>
      <w:r>
        <w:rPr>
          <w:rFonts w:hint="eastAsia" w:ascii="仿宋_GB2312" w:eastAsia="仿宋_GB2312"/>
          <w:kern w:val="0"/>
          <w:sz w:val="32"/>
          <w:szCs w:val="32"/>
          <w:lang w:val="en-US" w:eastAsia="zh-CN"/>
        </w:rPr>
        <w:t>92</w:t>
      </w:r>
      <w:r>
        <w:rPr>
          <w:rFonts w:hint="eastAsia" w:ascii="仿宋_GB2312" w:eastAsia="仿宋_GB2312"/>
          <w:kern w:val="0"/>
          <w:sz w:val="32"/>
          <w:szCs w:val="32"/>
        </w:rPr>
        <w:t>元。</w:t>
      </w:r>
    </w:p>
    <w:p>
      <w:pPr>
        <w:ind w:firstLine="640" w:firstLineChars="200"/>
        <w:rPr>
          <w:rFonts w:ascii="仿宋_GB2312" w:eastAsia="仿宋_GB2312"/>
          <w:kern w:val="0"/>
          <w:sz w:val="32"/>
          <w:szCs w:val="32"/>
        </w:rPr>
      </w:pPr>
      <w:r>
        <w:rPr>
          <w:rFonts w:hint="eastAsia" w:ascii="仿宋_GB2312" w:eastAsia="仿宋_GB2312"/>
          <w:color w:val="000000"/>
          <w:sz w:val="32"/>
          <w:szCs w:val="32"/>
        </w:rPr>
        <w:t>从整体上看，</w:t>
      </w:r>
      <w:r>
        <w:rPr>
          <w:rFonts w:hint="eastAsia" w:ascii="仿宋_GB2312" w:eastAsia="仿宋_GB2312"/>
          <w:color w:val="000000"/>
          <w:sz w:val="32"/>
          <w:szCs w:val="32"/>
          <w:shd w:val="clear" w:color="auto" w:fill="FFFFFF"/>
        </w:rPr>
        <w:t>202</w:t>
      </w:r>
      <w:r>
        <w:rPr>
          <w:rFonts w:hint="eastAsia" w:ascii="仿宋_GB2312" w:eastAsia="仿宋_GB2312"/>
          <w:color w:val="000000"/>
          <w:sz w:val="32"/>
          <w:szCs w:val="32"/>
          <w:shd w:val="clear" w:color="auto" w:fill="FFFFFF"/>
          <w:lang w:val="en-US" w:eastAsia="zh-CN"/>
        </w:rPr>
        <w:t>3</w:t>
      </w:r>
      <w:r>
        <w:rPr>
          <w:rFonts w:hint="eastAsia" w:ascii="仿宋_GB2312" w:eastAsia="仿宋_GB2312"/>
          <w:color w:val="000000"/>
          <w:sz w:val="32"/>
          <w:szCs w:val="32"/>
          <w:shd w:val="clear" w:color="auto" w:fill="FFFFFF"/>
        </w:rPr>
        <w:t>年我局资金运行维护决策正确，资金管理规范，政策执行有力，有效发挥了财政资金的使用效率。人员经费支出、公共支出严格执行政府的各项制度；在保证各项任务顺利完成的同时，严格落实厉行节约的原则；三公经费的使用严格控制在预算申报的范围内。</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三、存在的问题及原因</w:t>
      </w:r>
    </w:p>
    <w:p>
      <w:pPr>
        <w:pStyle w:val="3"/>
        <w:keepNext/>
        <w:keepLines w:val="0"/>
        <w:pageBreakBefore w:val="0"/>
        <w:widowControl w:val="0"/>
        <w:kinsoku/>
        <w:wordWrap/>
        <w:overflowPunct/>
        <w:topLinePunct w:val="0"/>
        <w:autoSpaceDE/>
        <w:autoSpaceDN/>
        <w:bidi w:val="0"/>
        <w:spacing w:after="0"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综合执法合力有待提升。扬尘防治、非煤矿山整治、农村面源污染、水生态保护、生活噪声污染等生态环境保护工作涉及林业、水利、应急、农业农村等多个部门，有关部门环保责任不清、密切配合不够，打击环境违法犯罪效率不高。</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、环保宣传力度有待加强。一些部门工作人员和普通群众对生态文明建设、环境保护的认识仍然不够高，创新开展</w:t>
      </w:r>
      <w:r>
        <w:rPr>
          <w:rFonts w:hint="eastAsia" w:ascii="仿宋_GB2312" w:hAnsi="仿宋_GB2312" w:eastAsia="仿宋_GB2312" w:cs="仿宋_GB2312"/>
          <w:b w:val="0"/>
          <w:bCs w:val="0"/>
          <w:sz w:val="32"/>
          <w:szCs w:val="32"/>
          <w:shd w:val="clear" w:color="auto" w:fill="FFFFFF"/>
        </w:rPr>
        <w:t>“六五”世界环境日环保宣传活动，进一步普及环保知识和法律法规，同时加强政府门户网站、红网、怀化日报</w:t>
      </w:r>
      <w:r>
        <w:rPr>
          <w:rFonts w:hint="eastAsia" w:ascii="仿宋_GB2312" w:hAnsi="仿宋_GB2312" w:eastAsia="仿宋_GB2312" w:cs="仿宋_GB2312"/>
          <w:bCs/>
          <w:sz w:val="32"/>
          <w:szCs w:val="32"/>
          <w:shd w:val="clear" w:color="auto" w:fill="FFFFFF"/>
        </w:rPr>
        <w:t>等新闻媒体的环保信息报送工作，充分展现生态环保工作成效和生态环保铁军良好形象。</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、是环保机构编制、队伍素质能力与新环保法的严格要求不相适应。</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、是财务管理欠缺，财务自身能力建设不够，财务管理制度不健全。</w:t>
      </w:r>
    </w:p>
    <w:p>
      <w:pPr>
        <w:spacing w:line="560" w:lineRule="exact"/>
        <w:ind w:firstLine="640" w:firstLineChars="200"/>
        <w:jc w:val="left"/>
        <w:rPr>
          <w:rFonts w:eastAsia="仿宋_GB2312"/>
          <w:kern w:val="0"/>
          <w:sz w:val="32"/>
          <w:szCs w:val="32"/>
        </w:rPr>
      </w:pPr>
      <w:r>
        <w:rPr>
          <w:rFonts w:eastAsia="仿宋_GB2312"/>
          <w:kern w:val="0"/>
          <w:sz w:val="32"/>
          <w:szCs w:val="32"/>
        </w:rPr>
        <w:t>四、提高财政资金绩效的措施与建议</w:t>
      </w:r>
    </w:p>
    <w:p>
      <w:pPr>
        <w:spacing w:line="560" w:lineRule="exact"/>
        <w:ind w:firstLine="640" w:firstLineChars="200"/>
        <w:jc w:val="left"/>
        <w:rPr>
          <w:rFonts w:ascii="仿宋_GB2312" w:eastAsia="仿宋_GB2312"/>
          <w:kern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eastAsia="仿宋_GB2312"/>
          <w:color w:val="333333"/>
          <w:sz w:val="32"/>
          <w:szCs w:val="32"/>
          <w:shd w:val="clear" w:color="auto" w:fill="FFFFFF"/>
        </w:rPr>
        <w:t>请财政根据环境管理事业发展的要求和实际情况，提高年初部门预算额度，增加相关项目支出预算；解决因人员包干预算与全额预算编制标准不同形成的缺口资金。</w:t>
      </w:r>
    </w:p>
    <w:p>
      <w:pPr>
        <w:keepNext/>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、对日益严峻的环保形势增加工作经费，加强部门协调。</w:t>
      </w:r>
    </w:p>
    <w:p>
      <w:pPr>
        <w:keepNext/>
        <w:keepLines w:val="0"/>
        <w:pageBreakBefore w:val="0"/>
        <w:widowControl w:val="0"/>
        <w:kinsoku/>
        <w:wordWrap/>
        <w:overflowPunct/>
        <w:topLinePunct w:val="0"/>
        <w:autoSpaceDE/>
        <w:autoSpaceDN/>
        <w:bidi w:val="0"/>
        <w:spacing w:line="520" w:lineRule="exact"/>
        <w:ind w:firstLine="6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、增加环保机构人员，加大业务培训力度，使环保队伍能适应新形式要求。</w:t>
      </w:r>
    </w:p>
    <w:p>
      <w:pPr>
        <w:keepNext/>
        <w:keepLines w:val="0"/>
        <w:pageBreakBefore w:val="0"/>
        <w:widowControl w:val="0"/>
        <w:tabs>
          <w:tab w:val="left" w:pos="645"/>
          <w:tab w:val="center" w:pos="4153"/>
        </w:tabs>
        <w:kinsoku/>
        <w:wordWrap/>
        <w:overflowPunct/>
        <w:topLinePunct w:val="0"/>
        <w:autoSpaceDE/>
        <w:autoSpaceDN/>
        <w:bidi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、加强基层财务业务培训力度，使之能有效加强财务管理。财政部门加强监督和指导同时进行，建立健全财务管理制度，使支出都能按制度执行，并发挥最大效益。      </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五、附件（佐证依据）</w:t>
      </w:r>
    </w:p>
    <w:p>
      <w:pPr>
        <w:spacing w:line="560" w:lineRule="exact"/>
        <w:ind w:firstLine="640" w:firstLineChars="200"/>
        <w:jc w:val="left"/>
        <w:rPr>
          <w:rFonts w:eastAsia="仿宋_GB2312"/>
          <w:kern w:val="0"/>
          <w:sz w:val="32"/>
          <w:szCs w:val="32"/>
        </w:rPr>
      </w:pPr>
      <w:r>
        <w:rPr>
          <w:rFonts w:eastAsia="仿宋_GB2312"/>
          <w:kern w:val="0"/>
          <w:sz w:val="32"/>
          <w:szCs w:val="32"/>
        </w:rPr>
        <w:t>部门认为需要作为评价报告附件的有关文件、资料等，以进一步解释和证明报告所反映的相关内容。</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 xml:space="preserve">                        部门（签章）</w:t>
      </w:r>
    </w:p>
    <w:p>
      <w:pPr>
        <w:ind w:firstLine="5440" w:firstLineChars="1700"/>
      </w:pPr>
      <w:r>
        <w:rPr>
          <w:rFonts w:hint="eastAsia" w:eastAsia="仿宋_GB2312"/>
          <w:kern w:val="0"/>
          <w:sz w:val="32"/>
          <w:szCs w:val="32"/>
        </w:rPr>
        <w:t>202</w:t>
      </w:r>
      <w:r>
        <w:rPr>
          <w:rFonts w:hint="eastAsia" w:eastAsia="仿宋_GB2312"/>
          <w:kern w:val="0"/>
          <w:sz w:val="32"/>
          <w:szCs w:val="32"/>
          <w:lang w:val="en-US" w:eastAsia="zh-CN"/>
        </w:rPr>
        <w:t>4</w:t>
      </w:r>
      <w:r>
        <w:rPr>
          <w:rFonts w:eastAsia="仿宋_GB2312"/>
          <w:kern w:val="0"/>
          <w:sz w:val="32"/>
          <w:szCs w:val="32"/>
        </w:rPr>
        <w:t xml:space="preserve"> 年</w:t>
      </w:r>
      <w:r>
        <w:rPr>
          <w:rFonts w:hint="eastAsia" w:eastAsia="仿宋_GB2312"/>
          <w:kern w:val="0"/>
          <w:sz w:val="32"/>
          <w:szCs w:val="32"/>
          <w:lang w:val="en-US" w:eastAsia="zh-CN"/>
        </w:rPr>
        <w:t>4</w:t>
      </w:r>
      <w:r>
        <w:rPr>
          <w:rFonts w:eastAsia="仿宋_GB2312"/>
          <w:kern w:val="0"/>
          <w:sz w:val="32"/>
          <w:szCs w:val="32"/>
        </w:rPr>
        <w:t xml:space="preserve"> 月</w:t>
      </w:r>
      <w:r>
        <w:rPr>
          <w:rFonts w:hint="eastAsia" w:eastAsia="仿宋_GB2312"/>
          <w:kern w:val="0"/>
          <w:sz w:val="32"/>
          <w:szCs w:val="32"/>
          <w:lang w:val="en-US" w:eastAsia="zh-CN"/>
        </w:rPr>
        <w:t>10</w:t>
      </w:r>
      <w:r>
        <w:rPr>
          <w:rFonts w:eastAsia="仿宋_GB2312"/>
          <w:kern w:val="0"/>
          <w:sz w:val="32"/>
          <w:szCs w:val="32"/>
        </w:rPr>
        <w:t>日</w:t>
      </w:r>
      <w:r>
        <w:rPr>
          <w:kern w:val="0"/>
          <w:sz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3OWI0MGRhY2E4OTM1YmJmYzg1ODY0ODhkMWU4OWEifQ=="/>
  </w:docVars>
  <w:rsids>
    <w:rsidRoot w:val="00F65BFE"/>
    <w:rsid w:val="00000285"/>
    <w:rsid w:val="00087C7A"/>
    <w:rsid w:val="000A3AD4"/>
    <w:rsid w:val="000B5F8C"/>
    <w:rsid w:val="000C70E5"/>
    <w:rsid w:val="00111B2D"/>
    <w:rsid w:val="001A355D"/>
    <w:rsid w:val="0021164D"/>
    <w:rsid w:val="00244B89"/>
    <w:rsid w:val="0035507A"/>
    <w:rsid w:val="0044374E"/>
    <w:rsid w:val="005C3493"/>
    <w:rsid w:val="005F1087"/>
    <w:rsid w:val="00656DFD"/>
    <w:rsid w:val="006C6760"/>
    <w:rsid w:val="006F0DC0"/>
    <w:rsid w:val="007B11BB"/>
    <w:rsid w:val="00824827"/>
    <w:rsid w:val="00844E57"/>
    <w:rsid w:val="008E797B"/>
    <w:rsid w:val="00927A4C"/>
    <w:rsid w:val="009321B1"/>
    <w:rsid w:val="00A13C65"/>
    <w:rsid w:val="00A3001B"/>
    <w:rsid w:val="00AA12B3"/>
    <w:rsid w:val="00B948CC"/>
    <w:rsid w:val="00CC2FCE"/>
    <w:rsid w:val="00CE18DB"/>
    <w:rsid w:val="00D353B2"/>
    <w:rsid w:val="00D96FE5"/>
    <w:rsid w:val="00DE0005"/>
    <w:rsid w:val="00DE67F4"/>
    <w:rsid w:val="00E301EC"/>
    <w:rsid w:val="00E633D9"/>
    <w:rsid w:val="00E81C8C"/>
    <w:rsid w:val="00E85DA3"/>
    <w:rsid w:val="00ED66DA"/>
    <w:rsid w:val="00F65BFE"/>
    <w:rsid w:val="08125BA8"/>
    <w:rsid w:val="1D5D0B0F"/>
    <w:rsid w:val="23FF20A9"/>
    <w:rsid w:val="248443AF"/>
    <w:rsid w:val="2CE96ABE"/>
    <w:rsid w:val="37CA6DBD"/>
    <w:rsid w:val="44CB0E3F"/>
    <w:rsid w:val="68763390"/>
    <w:rsid w:val="71D55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unhideWhenUsed/>
    <w:qFormat/>
    <w:uiPriority w:val="0"/>
    <w:pPr>
      <w:spacing w:after="120"/>
    </w:p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7">
    <w:name w:val="Strong"/>
    <w:autoRedefine/>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310</Words>
  <Characters>1770</Characters>
  <Lines>14</Lines>
  <Paragraphs>4</Paragraphs>
  <TotalTime>2</TotalTime>
  <ScaleCrop>false</ScaleCrop>
  <LinksUpToDate>false</LinksUpToDate>
  <CharactersWithSpaces>2076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2020-09-15T07:32:00Z</dcterms:created>
  <dc:creator>Administrator</dc:creator>
  <cp:lastModifiedBy>Administrator</cp:lastModifiedBy>
  <dcterms:modified xsi:type="dcterms:W3CDTF">2024-04-17T00:43:42Z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085A4A9FF9EA461E9D61485824749B58</vt:lpwstr>
  </property>
</Properties>
</file>