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B342A">
      <w:pPr>
        <w:rPr>
          <w:rFonts w:hint="eastAsia"/>
        </w:rPr>
      </w:pPr>
    </w:p>
    <w:p w14:paraId="677E495D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关于加强全县公共租赁住房管理的通知</w:t>
      </w:r>
    </w:p>
    <w:p w14:paraId="7A353A1B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 w14:paraId="5DECEA73">
      <w:pPr>
        <w:jc w:val="center"/>
        <w:rPr>
          <w:rFonts w:hint="eastAsia"/>
          <w:color w:val="auto"/>
        </w:rPr>
      </w:pPr>
    </w:p>
    <w:p w14:paraId="3FB7FEF2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县教育局、县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局及各乡镇人民政府等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公租房管理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</w:p>
    <w:p w14:paraId="3EB09BB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县公共租赁住房分配入住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设施的维护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等后续管理，根据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湖南省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公共租赁住房管理办法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(湘建保〔2021〕188号)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湖南省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公共租赁住房租金管理办法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湘发改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价费规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〔202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745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《新晃侗族自治县公共租赁住房管理办法》（晃政办发〔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对我县公共租赁住房管理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有关事项通知如下:</w:t>
      </w:r>
    </w:p>
    <w:p w14:paraId="6A460E1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一、加强组织领导</w:t>
      </w:r>
    </w:p>
    <w:p w14:paraId="3A1D7D2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公共租赁住房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是一项重要的民生实事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县直有关单位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各乡镇要明确责任，强化管理，统筹解决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公共租赁住房后续管理中存在的相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关问题。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县住房和城乡建设局负责全县公共租赁住房工作的指导和监督。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县教育局、县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县产业开发区管委会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及各乡镇人民政府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等公共租赁住房责任单位应当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成立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公共租赁住房管理工作机构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明确工作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负责本区域内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公共租赁住房的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建设与管理，确保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公共租赁住房管理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工作落实到位。</w:t>
      </w:r>
    </w:p>
    <w:p w14:paraId="63D6449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二、明确目标任务</w:t>
      </w:r>
    </w:p>
    <w:p w14:paraId="2BE2470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管理区划</w:t>
      </w:r>
    </w:p>
    <w:p w14:paraId="4528D1C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住房保障服务中心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：负责全县公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的统筹管理和县城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中心城区范围内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共租赁住房配租及后续管理工作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；鱼市镇工业集中区的公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住房保障服务中心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委托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县产业开发区管委会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管理。</w:t>
      </w:r>
    </w:p>
    <w:p w14:paraId="0569A4F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县教育局：负责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教育系统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配租及后续管理工作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D92AECD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局：负责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卫健系统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配租及后续管理工作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067C92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人民政府：负责各乡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共租赁住房配租及后续管理工作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802E146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2.切实抓好分配入住。各管理部门要按照项目入住率达90%的工作目标，全面统筹做好所辖公租房的分配入住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工作，杜绝出现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公共租赁住房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大面积闲置问题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撤并了的乡镇人民政府闲置的公共租赁住房需尽量盘活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0D5CC3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强后续管理</w:t>
      </w:r>
    </w:p>
    <w:p w14:paraId="0162EFE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1.严把入口审批。教育、卫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及各乡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等有关单位要进一步强化管理，制定本区域内公租房管理细则。按相关要求如实填报申请人相关信息，严格审批程序，并建立管理台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，每半年向县住房保障主管部门上报一次公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赁住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房配租入住信息。</w:t>
      </w:r>
    </w:p>
    <w:p w14:paraId="210B1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7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2.严格租金管理。教育、卫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及各乡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等有关单位要按照《关于调整我县公共租赁住房租金标准的通知》（晃发改价〔2016〕03号）标准足额收取租金，同时，每半年要将租金上缴县财政非税收入管理局汇缴结算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公共租赁住房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的维护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及建设等费用主要通过公共租赁住房的租金收入解决，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不足部分由财政预算安排解决。</w:t>
      </w:r>
    </w:p>
    <w:p w14:paraId="2BB4AFD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建立健全完善的公共租赁住房管理制度是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扎实推进我县公共租赁住房后续管理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的制度保障。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对公共租赁住房的管理，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有利于多层次解决各类群体的住房需求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公共租赁住房分配入住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和后续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管理是保障性安居工作的重要内容，教育、卫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及各乡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等有关单位要高度重视，按照公共租赁住房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好管理责任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主管部门要会同县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纪委监委等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部门，采取随机抽查、重点核查等方式，对全县公共租赁住房分配入住情况进行督查，发现存在弄虚作假、瞒报、整改不落实等问题的，予以通报并督导整改，必要时启动追责程序。</w:t>
      </w:r>
    </w:p>
    <w:p w14:paraId="3FCB1AC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51B3C12">
      <w:pPr>
        <w:ind w:firstLine="2560" w:firstLineChars="8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新晃侗族自治县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住房和城乡建设局</w:t>
      </w:r>
    </w:p>
    <w:p w14:paraId="69D2BFF1"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79F1E54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26A0C"/>
    <w:rsid w:val="02021905"/>
    <w:rsid w:val="05393890"/>
    <w:rsid w:val="07B4372F"/>
    <w:rsid w:val="0D770B24"/>
    <w:rsid w:val="145A267D"/>
    <w:rsid w:val="15E47A4E"/>
    <w:rsid w:val="1BE03F43"/>
    <w:rsid w:val="1BF62D65"/>
    <w:rsid w:val="219B5153"/>
    <w:rsid w:val="2312519F"/>
    <w:rsid w:val="26526A0C"/>
    <w:rsid w:val="31D72CE6"/>
    <w:rsid w:val="39C80763"/>
    <w:rsid w:val="410A1742"/>
    <w:rsid w:val="46531254"/>
    <w:rsid w:val="47432366"/>
    <w:rsid w:val="4B6027FF"/>
    <w:rsid w:val="523836C6"/>
    <w:rsid w:val="5F052B43"/>
    <w:rsid w:val="6318012F"/>
    <w:rsid w:val="6F564866"/>
    <w:rsid w:val="739D3646"/>
    <w:rsid w:val="7B0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1263</Characters>
  <Lines>0</Lines>
  <Paragraphs>0</Paragraphs>
  <TotalTime>1</TotalTime>
  <ScaleCrop>false</ScaleCrop>
  <LinksUpToDate>false</LinksUpToDate>
  <CharactersWithSpaces>1263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2024-12-09T07:12:00Z</dcterms:created>
  <dc:creator>野雁（吴绍坤）</dc:creator>
  <cp:lastModifiedBy>野雁（吴绍坤）</cp:lastModifiedBy>
  <cp:lastPrinted>2024-12-24T00:23:00Z</cp:lastPrinted>
  <dcterms:modified xsi:type="dcterms:W3CDTF">2025-01-03T02:40:10Z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ECD53E1CCE754E5D913D1DDA093DC70F_11</vt:lpwstr>
  </property>
  <property fmtid="{D5CDD505-2E9C-101B-9397-08002B2CF9AE}" pid="4" name="KSOTemplateDocerSaveRecord">
    <vt:lpwstr>eyJoZGlkIjoiODE5YjJhMTI2N2E3YTk3NzcyZGRiNDllYzczYjM3N2EiLCJ1c2VySWQiOiIxMDI3NTc4NDQ5In0=</vt:lpwstr>
  </property>
</Properties>
</file>