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jc w:val="center"/>
        <w:rPr>
          <w:rStyle w:val="10"/>
          <w:rFonts w:hint="default" w:ascii="Times New Roman" w:hAnsi="Times New Roman" w:eastAsia="方正小标宋简体" w:cs="Times New Roman"/>
          <w:b w:val="0"/>
          <w:bCs/>
          <w:color w:val="auto"/>
          <w:spacing w:val="0"/>
          <w:sz w:val="44"/>
          <w:szCs w:val="44"/>
        </w:rPr>
      </w:pPr>
      <w:r>
        <w:rPr>
          <w:rStyle w:val="10"/>
          <w:rFonts w:hint="eastAsia" w:ascii="Times New Roman" w:hAnsi="Times New Roman" w:eastAsia="方正小标宋简体" w:cs="Times New Roman"/>
          <w:b w:val="0"/>
          <w:bCs/>
          <w:color w:val="auto"/>
          <w:spacing w:val="0"/>
          <w:sz w:val="44"/>
          <w:szCs w:val="44"/>
          <w:lang w:val="en-US"/>
        </w:rPr>
        <w:t>新晃侗族自治县</w:t>
      </w:r>
      <w:r>
        <w:rPr>
          <w:rStyle w:val="10"/>
          <w:rFonts w:hint="default" w:ascii="Times New Roman" w:hAnsi="Times New Roman" w:eastAsia="方正小标宋简体" w:cs="Times New Roman"/>
          <w:b w:val="0"/>
          <w:bCs/>
          <w:color w:val="auto"/>
          <w:spacing w:val="0"/>
          <w:sz w:val="44"/>
          <w:szCs w:val="44"/>
        </w:rPr>
        <w:t>集体土地</w:t>
      </w:r>
      <w:r>
        <w:rPr>
          <w:rStyle w:val="10"/>
          <w:rFonts w:hint="eastAsia" w:ascii="Times New Roman" w:hAnsi="Times New Roman" w:eastAsia="方正小标宋简体" w:cs="Times New Roman"/>
          <w:b w:val="0"/>
          <w:bCs/>
          <w:color w:val="auto"/>
          <w:spacing w:val="0"/>
          <w:sz w:val="44"/>
          <w:szCs w:val="44"/>
          <w:lang w:val="en-US"/>
        </w:rPr>
        <w:t>与</w:t>
      </w:r>
      <w:r>
        <w:rPr>
          <w:rStyle w:val="10"/>
          <w:rFonts w:hint="default" w:ascii="Times New Roman" w:hAnsi="Times New Roman" w:eastAsia="方正小标宋简体" w:cs="Times New Roman"/>
          <w:b w:val="0"/>
          <w:bCs/>
          <w:color w:val="auto"/>
          <w:spacing w:val="0"/>
          <w:sz w:val="44"/>
          <w:szCs w:val="44"/>
        </w:rPr>
        <w:t>房屋征收安置</w:t>
      </w:r>
    </w:p>
    <w:p>
      <w:pPr>
        <w:keepNext w:val="0"/>
        <w:keepLines w:val="0"/>
        <w:pageBreakBefore w:val="0"/>
        <w:widowControl w:val="0"/>
        <w:kinsoku/>
        <w:wordWrap/>
        <w:overflowPunct/>
        <w:topLinePunct w:val="0"/>
        <w:autoSpaceDE/>
        <w:autoSpaceDN/>
        <w:bidi w:val="0"/>
        <w:adjustRightInd/>
        <w:snapToGrid/>
        <w:spacing w:before="0" w:after="0" w:line="600" w:lineRule="exact"/>
        <w:jc w:val="center"/>
        <w:rPr>
          <w:rStyle w:val="10"/>
          <w:rFonts w:hint="default" w:ascii="Times New Roman" w:hAnsi="Times New Roman" w:eastAsia="楷体_GB2312" w:cs="Times New Roman"/>
          <w:b w:val="0"/>
          <w:bCs/>
          <w:color w:val="auto"/>
          <w:spacing w:val="0"/>
          <w:sz w:val="32"/>
          <w:szCs w:val="32"/>
        </w:rPr>
      </w:pPr>
      <w:r>
        <w:rPr>
          <w:rStyle w:val="10"/>
          <w:rFonts w:hint="default" w:ascii="Times New Roman" w:hAnsi="Times New Roman" w:eastAsia="方正小标宋简体" w:cs="Times New Roman"/>
          <w:b w:val="0"/>
          <w:bCs/>
          <w:color w:val="auto"/>
          <w:spacing w:val="0"/>
          <w:sz w:val="44"/>
          <w:szCs w:val="44"/>
        </w:rPr>
        <w:t>实施细则</w:t>
      </w:r>
      <w:r>
        <w:rPr>
          <w:rStyle w:val="10"/>
          <w:rFonts w:hint="default" w:ascii="Times New Roman" w:hAnsi="Times New Roman" w:eastAsia="楷体_GB2312" w:cs="Times New Roman"/>
          <w:b w:val="0"/>
          <w:bCs/>
          <w:color w:val="auto"/>
          <w:spacing w:val="0"/>
          <w:sz w:val="32"/>
          <w:szCs w:val="32"/>
        </w:rPr>
        <w:t>（</w:t>
      </w:r>
      <w:r>
        <w:rPr>
          <w:rStyle w:val="10"/>
          <w:rFonts w:hint="eastAsia" w:ascii="Times New Roman" w:hAnsi="Times New Roman" w:eastAsia="楷体_GB2312" w:cs="Times New Roman"/>
          <w:b w:val="0"/>
          <w:bCs/>
          <w:color w:val="auto"/>
          <w:spacing w:val="0"/>
          <w:sz w:val="32"/>
          <w:szCs w:val="32"/>
          <w:lang w:val="en-US"/>
        </w:rPr>
        <w:t>修订稿</w:t>
      </w:r>
      <w:r>
        <w:rPr>
          <w:rStyle w:val="10"/>
          <w:rFonts w:hint="default" w:ascii="Times New Roman" w:hAnsi="Times New Roman" w:eastAsia="楷体_GB2312" w:cs="Times New Roman"/>
          <w:b w:val="0"/>
          <w:bCs/>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b w:val="0"/>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第一章  总则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lang w:val="zh-CN"/>
        </w:rPr>
      </w:pPr>
      <w:r>
        <w:rPr>
          <w:rFonts w:hint="eastAsia" w:ascii="仿宋" w:hAnsi="仿宋" w:eastAsia="仿宋" w:cs="仿宋"/>
          <w:b/>
          <w:bCs/>
          <w:snapToGrid/>
          <w:color w:val="auto"/>
          <w:spacing w:val="0"/>
          <w:w w:val="100"/>
          <w:position w:val="0"/>
          <w:sz w:val="32"/>
          <w:szCs w:val="32"/>
          <w:u w:val="none"/>
          <w:shd w:val="clear"/>
          <w:vertAlign w:val="baseline"/>
          <w:lang w:val="en-US" w:eastAsia="zh-CN"/>
        </w:rPr>
        <w:t>第一条</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为</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了规范新晃</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集体土地</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与</w:t>
      </w:r>
      <w:r>
        <w:rPr>
          <w:rFonts w:hint="default" w:ascii="Times New Roman" w:hAnsi="Times New Roman" w:eastAsia="仿宋_GB2312" w:cs="Times New Roman"/>
          <w:snapToGrid/>
          <w:color w:val="auto"/>
          <w:spacing w:val="0"/>
          <w:w w:val="100"/>
          <w:position w:val="0"/>
          <w:sz w:val="32"/>
          <w:szCs w:val="32"/>
          <w:u w:val="none"/>
          <w:shd w:val="clear"/>
          <w:vertAlign w:val="baseline"/>
        </w:rPr>
        <w:t>房屋</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征收</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补偿</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安置</w:t>
      </w:r>
      <w:r>
        <w:rPr>
          <w:rFonts w:hint="default" w:ascii="Times New Roman" w:hAnsi="Times New Roman" w:eastAsia="仿宋_GB2312" w:cs="Times New Roman"/>
          <w:snapToGrid/>
          <w:color w:val="auto"/>
          <w:spacing w:val="0"/>
          <w:w w:val="100"/>
          <w:position w:val="0"/>
          <w:sz w:val="32"/>
          <w:szCs w:val="32"/>
          <w:u w:val="none"/>
          <w:shd w:val="clear"/>
          <w:vertAlign w:val="baseline"/>
        </w:rPr>
        <w:t>工作</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w:t>
      </w:r>
      <w:r>
        <w:rPr>
          <w:rFonts w:hint="default" w:ascii="Times New Roman" w:hAnsi="Times New Roman" w:eastAsia="仿宋_GB2312" w:cs="Times New Roman"/>
          <w:snapToGrid/>
          <w:color w:val="auto"/>
          <w:spacing w:val="0"/>
          <w:w w:val="100"/>
          <w:position w:val="0"/>
          <w:sz w:val="32"/>
          <w:szCs w:val="32"/>
          <w:u w:val="none"/>
          <w:shd w:val="clear"/>
          <w:vertAlign w:val="baseline"/>
        </w:rPr>
        <w:t>维护被征收人的合法权益，根据</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《中华人民共和国土地管理法》《中华人民共和国土地管理法实</w:t>
      </w:r>
      <w:bookmarkStart w:id="2" w:name="_GoBack"/>
      <w:bookmarkEnd w:id="2"/>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施条例》《湖南省实施</w:t>
      </w:r>
      <w:r>
        <w:rPr>
          <w:rFonts w:ascii="仿宋" w:hAnsi="仿宋" w:eastAsia="仿宋" w:cs="仿宋"/>
          <w:color w:val="auto"/>
          <w:spacing w:val="-6"/>
          <w:sz w:val="32"/>
          <w:szCs w:val="32"/>
        </w:rPr>
        <w:t>〈</w:t>
      </w:r>
      <w:r>
        <w:rPr>
          <w:rFonts w:hint="default" w:ascii="Times New Roman" w:hAnsi="Times New Roman" w:eastAsia="仿宋_GB2312" w:cs="Times New Roman"/>
          <w:snapToGrid/>
          <w:color w:val="auto"/>
          <w:spacing w:val="0"/>
          <w:w w:val="100"/>
          <w:position w:val="0"/>
          <w:sz w:val="32"/>
          <w:szCs w:val="32"/>
          <w:u w:val="none"/>
          <w:shd w:val="clear"/>
          <w:vertAlign w:val="baseline"/>
        </w:rPr>
        <w:t>中华人民共和国土地管理法</w:t>
      </w:r>
      <w:r>
        <w:rPr>
          <w:rFonts w:ascii="仿宋" w:hAnsi="仿宋" w:eastAsia="仿宋" w:cs="仿宋"/>
          <w:color w:val="auto"/>
          <w:spacing w:val="-6"/>
          <w:sz w:val="32"/>
          <w:szCs w:val="32"/>
        </w:rPr>
        <w:t>〉</w:t>
      </w:r>
      <w:r>
        <w:rPr>
          <w:rFonts w:hint="default" w:ascii="Times New Roman" w:hAnsi="Times New Roman" w:eastAsia="仿宋_GB2312" w:cs="Times New Roman"/>
          <w:snapToGrid/>
          <w:color w:val="auto"/>
          <w:spacing w:val="0"/>
          <w:w w:val="100"/>
          <w:position w:val="0"/>
          <w:sz w:val="32"/>
          <w:szCs w:val="32"/>
          <w:u w:val="none"/>
          <w:shd w:val="clear"/>
          <w:vertAlign w:val="baseline"/>
        </w:rPr>
        <w:t>办法</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》《怀化市集体土地与房屋征收补偿安置办法》等有关规定，</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结合本县实际，</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制定本实施细则。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60" w:lineRule="exact"/>
        <w:ind w:right="0" w:rightChars="0" w:firstLine="643"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rPr>
      </w:pPr>
      <w:r>
        <w:rPr>
          <w:rFonts w:hint="default" w:ascii="仿宋" w:hAnsi="仿宋" w:eastAsia="仿宋" w:cs="仿宋"/>
          <w:b/>
          <w:bCs/>
          <w:snapToGrid/>
          <w:color w:val="auto"/>
          <w:spacing w:val="0"/>
          <w:w w:val="100"/>
          <w:position w:val="0"/>
          <w:sz w:val="32"/>
          <w:szCs w:val="32"/>
          <w:u w:val="none"/>
          <w:shd w:val="clear"/>
          <w:vertAlign w:val="baseline"/>
          <w:lang w:val="en-US" w:eastAsia="zh-CN"/>
        </w:rPr>
        <w:t xml:space="preserve">第二条 </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本县</w:t>
      </w:r>
      <w:r>
        <w:rPr>
          <w:rFonts w:hint="default" w:ascii="Times New Roman" w:hAnsi="Times New Roman" w:eastAsia="仿宋_GB2312" w:cs="Times New Roman"/>
          <w:snapToGrid/>
          <w:color w:val="auto"/>
          <w:spacing w:val="0"/>
          <w:w w:val="100"/>
          <w:position w:val="0"/>
          <w:sz w:val="32"/>
          <w:szCs w:val="32"/>
          <w:u w:val="none"/>
          <w:shd w:val="clear"/>
          <w:vertAlign w:val="baseline"/>
        </w:rPr>
        <w:t>行政区域内征收集体土地</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与</w:t>
      </w:r>
      <w:r>
        <w:rPr>
          <w:rFonts w:hint="default" w:ascii="Times New Roman" w:hAnsi="Times New Roman" w:eastAsia="仿宋_GB2312" w:cs="Times New Roman"/>
          <w:snapToGrid/>
          <w:color w:val="auto"/>
          <w:spacing w:val="0"/>
          <w:w w:val="100"/>
          <w:position w:val="0"/>
          <w:sz w:val="32"/>
          <w:szCs w:val="32"/>
          <w:u w:val="none"/>
          <w:shd w:val="clear"/>
          <w:vertAlign w:val="baseline"/>
        </w:rPr>
        <w:t>房屋的安置，适用本实施细则。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firstLine="640"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因非农建设需要使用国有农林牧渔场等土地的，参照本实施细则规定的补偿标准执行。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default" w:ascii="仿宋" w:hAnsi="仿宋" w:eastAsia="仿宋" w:cs="仿宋"/>
          <w:b/>
          <w:bCs/>
          <w:snapToGrid/>
          <w:color w:val="auto"/>
          <w:spacing w:val="0"/>
          <w:w w:val="100"/>
          <w:position w:val="0"/>
          <w:sz w:val="32"/>
          <w:szCs w:val="32"/>
          <w:u w:val="none"/>
          <w:shd w:val="clear"/>
          <w:vertAlign w:val="baseline"/>
          <w:lang w:val="en-US" w:eastAsia="zh-CN"/>
        </w:rPr>
        <w:t>第</w:t>
      </w:r>
      <w:r>
        <w:rPr>
          <w:rFonts w:hint="eastAsia" w:ascii="仿宋" w:hAnsi="仿宋" w:eastAsia="仿宋" w:cs="仿宋"/>
          <w:b/>
          <w:bCs/>
          <w:snapToGrid/>
          <w:color w:val="auto"/>
          <w:spacing w:val="0"/>
          <w:w w:val="100"/>
          <w:position w:val="0"/>
          <w:sz w:val="32"/>
          <w:szCs w:val="32"/>
          <w:u w:val="none"/>
          <w:shd w:val="clear"/>
          <w:vertAlign w:val="baseline"/>
          <w:lang w:val="en-US" w:eastAsia="zh-CN"/>
        </w:rPr>
        <w:t>三</w:t>
      </w:r>
      <w:r>
        <w:rPr>
          <w:rFonts w:hint="default" w:ascii="仿宋" w:hAnsi="仿宋" w:eastAsia="仿宋" w:cs="仿宋"/>
          <w:b/>
          <w:bCs/>
          <w:snapToGrid/>
          <w:color w:val="auto"/>
          <w:spacing w:val="0"/>
          <w:w w:val="100"/>
          <w:position w:val="0"/>
          <w:sz w:val="32"/>
          <w:szCs w:val="32"/>
          <w:u w:val="none"/>
          <w:shd w:val="clear"/>
          <w:vertAlign w:val="baseline"/>
          <w:lang w:val="en-US" w:eastAsia="zh-CN"/>
        </w:rPr>
        <w:t xml:space="preserve">条 </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征收补偿安置应当</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遵循合法、公平、公正、公开的原则。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60" w:lineRule="exact"/>
        <w:ind w:right="0" w:firstLine="643"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rPr>
      </w:pPr>
      <w:r>
        <w:rPr>
          <w:rFonts w:hint="default" w:ascii="仿宋" w:hAnsi="仿宋" w:eastAsia="仿宋" w:cs="仿宋"/>
          <w:b/>
          <w:bCs/>
          <w:snapToGrid/>
          <w:color w:val="auto"/>
          <w:spacing w:val="0"/>
          <w:w w:val="100"/>
          <w:position w:val="0"/>
          <w:sz w:val="32"/>
          <w:szCs w:val="32"/>
          <w:u w:val="none"/>
          <w:shd w:val="clear"/>
          <w:vertAlign w:val="baseline"/>
          <w:lang w:val="en-US" w:eastAsia="zh-CN"/>
        </w:rPr>
        <w:t>第</w:t>
      </w:r>
      <w:r>
        <w:rPr>
          <w:rFonts w:hint="eastAsia" w:ascii="仿宋" w:hAnsi="仿宋" w:eastAsia="仿宋" w:cs="仿宋"/>
          <w:b/>
          <w:bCs/>
          <w:snapToGrid/>
          <w:color w:val="auto"/>
          <w:spacing w:val="0"/>
          <w:w w:val="100"/>
          <w:position w:val="0"/>
          <w:sz w:val="32"/>
          <w:szCs w:val="32"/>
          <w:u w:val="none"/>
          <w:shd w:val="clear"/>
          <w:vertAlign w:val="baseline"/>
          <w:lang w:val="en-US" w:eastAsia="zh-CN"/>
        </w:rPr>
        <w:t>四</w:t>
      </w:r>
      <w:r>
        <w:rPr>
          <w:rFonts w:hint="default" w:ascii="仿宋" w:hAnsi="仿宋" w:eastAsia="仿宋" w:cs="仿宋"/>
          <w:b/>
          <w:bCs/>
          <w:snapToGrid/>
          <w:color w:val="auto"/>
          <w:spacing w:val="0"/>
          <w:w w:val="100"/>
          <w:position w:val="0"/>
          <w:sz w:val="32"/>
          <w:szCs w:val="32"/>
          <w:u w:val="none"/>
          <w:shd w:val="clear"/>
          <w:vertAlign w:val="baseline"/>
          <w:lang w:val="en-US" w:eastAsia="zh-CN"/>
        </w:rPr>
        <w:t xml:space="preserve">条 </w:t>
      </w:r>
      <w:r>
        <w:rPr>
          <w:rFonts w:hint="eastAsia" w:ascii="仿宋" w:hAnsi="仿宋" w:eastAsia="仿宋" w:cs="仿宋"/>
          <w:b/>
          <w:bCs/>
          <w:snapToGrid/>
          <w:color w:val="auto"/>
          <w:spacing w:val="0"/>
          <w:w w:val="100"/>
          <w:position w:val="0"/>
          <w:sz w:val="32"/>
          <w:szCs w:val="32"/>
          <w:u w:val="none"/>
          <w:shd w:val="clear"/>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县</w:t>
      </w:r>
      <w:r>
        <w:rPr>
          <w:rFonts w:hint="default" w:ascii="Times New Roman" w:hAnsi="Times New Roman" w:eastAsia="仿宋_GB2312" w:cs="Times New Roman"/>
          <w:snapToGrid/>
          <w:color w:val="auto"/>
          <w:spacing w:val="0"/>
          <w:w w:val="100"/>
          <w:position w:val="0"/>
          <w:sz w:val="32"/>
          <w:szCs w:val="32"/>
          <w:u w:val="none"/>
          <w:shd w:val="clear"/>
          <w:vertAlign w:val="baseline"/>
        </w:rPr>
        <w:t>人民政府负责本行政区域征收</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补偿</w:t>
      </w:r>
      <w:r>
        <w:rPr>
          <w:rFonts w:hint="default" w:ascii="Times New Roman" w:hAnsi="Times New Roman" w:eastAsia="仿宋_GB2312" w:cs="Times New Roman"/>
          <w:snapToGrid/>
          <w:color w:val="auto"/>
          <w:spacing w:val="0"/>
          <w:w w:val="100"/>
          <w:position w:val="0"/>
          <w:sz w:val="32"/>
          <w:szCs w:val="32"/>
          <w:u w:val="none"/>
          <w:shd w:val="clear"/>
          <w:vertAlign w:val="baseline"/>
        </w:rPr>
        <w:t>安置工作。</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县征收</w:t>
      </w:r>
      <w:r>
        <w:rPr>
          <w:rFonts w:hint="default" w:ascii="Times New Roman" w:hAnsi="Times New Roman" w:eastAsia="仿宋_GB2312" w:cs="Times New Roman"/>
          <w:snapToGrid/>
          <w:color w:val="auto"/>
          <w:spacing w:val="0"/>
          <w:w w:val="100"/>
          <w:position w:val="0"/>
          <w:sz w:val="32"/>
          <w:szCs w:val="32"/>
          <w:u w:val="none"/>
          <w:shd w:val="clear"/>
          <w:vertAlign w:val="baseline"/>
        </w:rPr>
        <w:t>安置事务中心</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具体</w:t>
      </w:r>
      <w:r>
        <w:rPr>
          <w:rFonts w:hint="default" w:ascii="Times New Roman" w:hAnsi="Times New Roman" w:eastAsia="仿宋_GB2312" w:cs="Times New Roman"/>
          <w:snapToGrid/>
          <w:color w:val="auto"/>
          <w:spacing w:val="0"/>
          <w:w w:val="100"/>
          <w:position w:val="0"/>
          <w:sz w:val="32"/>
          <w:szCs w:val="32"/>
          <w:u w:val="none"/>
          <w:shd w:val="clear"/>
          <w:vertAlign w:val="baseline"/>
        </w:rPr>
        <w:t>负责做好征收</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补偿</w:t>
      </w:r>
      <w:r>
        <w:rPr>
          <w:rFonts w:hint="default" w:ascii="Times New Roman" w:hAnsi="Times New Roman" w:eastAsia="仿宋_GB2312" w:cs="Times New Roman"/>
          <w:snapToGrid/>
          <w:color w:val="auto"/>
          <w:spacing w:val="0"/>
          <w:w w:val="100"/>
          <w:position w:val="0"/>
          <w:sz w:val="32"/>
          <w:szCs w:val="32"/>
          <w:u w:val="none"/>
          <w:shd w:val="clear"/>
          <w:vertAlign w:val="baseline"/>
        </w:rPr>
        <w:t>安置工作。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lang w:eastAsia="zh-CN"/>
        </w:rPr>
      </w:pP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发展改革、财政、自然资源、司法、</w:t>
      </w:r>
      <w:r>
        <w:rPr>
          <w:rFonts w:hint="default" w:ascii="Times New Roman" w:hAnsi="Times New Roman" w:eastAsia="仿宋_GB2312" w:cs="Times New Roman"/>
          <w:snapToGrid/>
          <w:color w:val="auto"/>
          <w:spacing w:val="0"/>
          <w:w w:val="100"/>
          <w:position w:val="0"/>
          <w:sz w:val="32"/>
          <w:szCs w:val="32"/>
          <w:u w:val="none"/>
          <w:shd w:val="clear"/>
          <w:vertAlign w:val="baseline"/>
        </w:rPr>
        <w:t>农业农村、民政、</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人力资源和社会保障、住房和城乡建设、</w:t>
      </w:r>
      <w:r>
        <w:rPr>
          <w:rFonts w:hint="default" w:ascii="Times New Roman" w:hAnsi="Times New Roman" w:eastAsia="仿宋_GB2312" w:cs="Times New Roman"/>
          <w:snapToGrid/>
          <w:color w:val="auto"/>
          <w:spacing w:val="0"/>
          <w:w w:val="100"/>
          <w:position w:val="0"/>
          <w:sz w:val="32"/>
          <w:szCs w:val="32"/>
          <w:u w:val="none"/>
          <w:shd w:val="clear"/>
          <w:vertAlign w:val="baseline"/>
        </w:rPr>
        <w:t>城市管理和综合执法、</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公安、</w:t>
      </w:r>
      <w:r>
        <w:rPr>
          <w:rFonts w:hint="default" w:ascii="Times New Roman" w:hAnsi="Times New Roman" w:eastAsia="仿宋_GB2312" w:cs="Times New Roman"/>
          <w:snapToGrid/>
          <w:color w:val="auto"/>
          <w:spacing w:val="0"/>
          <w:w w:val="100"/>
          <w:position w:val="0"/>
          <w:sz w:val="32"/>
          <w:szCs w:val="32"/>
          <w:u w:val="none"/>
          <w:shd w:val="clear"/>
          <w:vertAlign w:val="baseline"/>
        </w:rPr>
        <w:t>市场监管、</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统计、税务、审计、林业、</w:t>
      </w:r>
      <w:r>
        <w:rPr>
          <w:rFonts w:hint="default" w:ascii="Times New Roman" w:hAnsi="Times New Roman" w:eastAsia="仿宋_GB2312" w:cs="Times New Roman"/>
          <w:snapToGrid/>
          <w:color w:val="auto"/>
          <w:spacing w:val="0"/>
          <w:w w:val="100"/>
          <w:position w:val="0"/>
          <w:sz w:val="32"/>
          <w:szCs w:val="32"/>
          <w:u w:val="none"/>
          <w:shd w:val="clear"/>
          <w:vertAlign w:val="baseline"/>
        </w:rPr>
        <w:t>乡</w:t>
      </w:r>
      <w:r>
        <w:rPr>
          <w:rFonts w:hint="eastAsia" w:ascii="Times New Roman" w:hAnsi="Times New Roman" w:eastAsia="仿宋_GB2312" w:cs="Times New Roman"/>
          <w:snapToGrid/>
          <w:color w:val="auto"/>
          <w:spacing w:val="0"/>
          <w:w w:val="100"/>
          <w:position w:val="0"/>
          <w:sz w:val="32"/>
          <w:szCs w:val="32"/>
          <w:u w:val="none"/>
          <w:shd w:val="clear"/>
          <w:vertAlign w:val="baseline"/>
          <w:lang w:eastAsia="zh-CN"/>
        </w:rPr>
        <w:t>（</w:t>
      </w:r>
      <w:r>
        <w:rPr>
          <w:rFonts w:hint="default" w:ascii="Times New Roman" w:hAnsi="Times New Roman" w:eastAsia="仿宋_GB2312" w:cs="Times New Roman"/>
          <w:snapToGrid/>
          <w:color w:val="auto"/>
          <w:spacing w:val="0"/>
          <w:w w:val="100"/>
          <w:position w:val="0"/>
          <w:sz w:val="32"/>
          <w:szCs w:val="32"/>
          <w:u w:val="none"/>
          <w:shd w:val="clear"/>
          <w:vertAlign w:val="baseline"/>
        </w:rPr>
        <w:t>镇</w:t>
      </w:r>
      <w:r>
        <w:rPr>
          <w:rFonts w:hint="eastAsia" w:ascii="Times New Roman" w:hAnsi="Times New Roman" w:eastAsia="仿宋_GB2312" w:cs="Times New Roman"/>
          <w:snapToGrid/>
          <w:color w:val="auto"/>
          <w:spacing w:val="0"/>
          <w:w w:val="100"/>
          <w:position w:val="0"/>
          <w:sz w:val="32"/>
          <w:szCs w:val="32"/>
          <w:u w:val="none"/>
          <w:shd w:val="clear"/>
          <w:vertAlign w:val="baseline"/>
          <w:lang w:eastAsia="zh-CN"/>
        </w:rPr>
        <w:t>）</w:t>
      </w:r>
      <w:r>
        <w:rPr>
          <w:rFonts w:hint="default" w:ascii="Times New Roman" w:hAnsi="Times New Roman" w:eastAsia="仿宋_GB2312" w:cs="Times New Roman"/>
          <w:snapToGrid/>
          <w:color w:val="auto"/>
          <w:spacing w:val="0"/>
          <w:w w:val="100"/>
          <w:position w:val="0"/>
          <w:sz w:val="32"/>
          <w:szCs w:val="32"/>
          <w:u w:val="none"/>
          <w:shd w:val="clear"/>
          <w:vertAlign w:val="baseline"/>
        </w:rPr>
        <w:t>人民政府</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等</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有关</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部门按各自职责做好</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征收</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补偿</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安置相关</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lang w:eastAsia="zh-CN"/>
        </w:rPr>
      </w:pPr>
      <w:r>
        <w:rPr>
          <w:rFonts w:hint="default" w:ascii="仿宋" w:hAnsi="仿宋" w:eastAsia="仿宋" w:cs="仿宋"/>
          <w:b/>
          <w:bCs/>
          <w:snapToGrid/>
          <w:color w:val="auto"/>
          <w:spacing w:val="0"/>
          <w:w w:val="100"/>
          <w:position w:val="0"/>
          <w:sz w:val="32"/>
          <w:szCs w:val="32"/>
          <w:u w:val="none"/>
          <w:shd w:val="clear"/>
          <w:vertAlign w:val="baseline"/>
          <w:lang w:val="en-US" w:eastAsia="zh-CN"/>
        </w:rPr>
        <w:t>第</w:t>
      </w:r>
      <w:r>
        <w:rPr>
          <w:rFonts w:hint="eastAsia" w:ascii="仿宋" w:hAnsi="仿宋" w:eastAsia="仿宋" w:cs="仿宋"/>
          <w:b/>
          <w:bCs/>
          <w:snapToGrid/>
          <w:color w:val="auto"/>
          <w:spacing w:val="0"/>
          <w:w w:val="100"/>
          <w:position w:val="0"/>
          <w:sz w:val="32"/>
          <w:szCs w:val="32"/>
          <w:u w:val="none"/>
          <w:shd w:val="clear"/>
          <w:vertAlign w:val="baseline"/>
          <w:lang w:val="en-US" w:eastAsia="zh-CN"/>
        </w:rPr>
        <w:t>五</w:t>
      </w:r>
      <w:r>
        <w:rPr>
          <w:rFonts w:hint="default" w:ascii="仿宋" w:hAnsi="仿宋" w:eastAsia="仿宋" w:cs="仿宋"/>
          <w:b/>
          <w:bCs/>
          <w:snapToGrid/>
          <w:color w:val="auto"/>
          <w:spacing w:val="0"/>
          <w:w w:val="100"/>
          <w:position w:val="0"/>
          <w:sz w:val="32"/>
          <w:szCs w:val="32"/>
          <w:u w:val="none"/>
          <w:shd w:val="clear"/>
          <w:vertAlign w:val="baseline"/>
          <w:lang w:val="en-US" w:eastAsia="zh-CN"/>
        </w:rPr>
        <w:t>条</w:t>
      </w:r>
      <w:r>
        <w:rPr>
          <w:rFonts w:hint="eastAsia" w:ascii="仿宋" w:hAnsi="仿宋" w:eastAsia="仿宋" w:cs="仿宋"/>
          <w:b/>
          <w:bCs/>
          <w:snapToGrid/>
          <w:color w:val="auto"/>
          <w:spacing w:val="0"/>
          <w:w w:val="100"/>
          <w:position w:val="0"/>
          <w:sz w:val="32"/>
          <w:szCs w:val="32"/>
          <w:u w:val="none"/>
          <w:shd w:val="clear"/>
          <w:vertAlign w:val="baseline"/>
          <w:lang w:val="en-US" w:eastAsia="zh-CN"/>
        </w:rPr>
        <w:t xml:space="preserve">  </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规范征收任务下达程序，业主单位向</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县</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人民政府提出申请，经</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rPr>
        <w:t>发展改革</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、财政、自然资源等部门联审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后，由征收实施单位启动</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征收任务。</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napToGrid/>
          <w:color w:val="auto"/>
          <w:spacing w:val="0"/>
          <w:w w:val="100"/>
          <w:position w:val="0"/>
          <w:sz w:val="32"/>
          <w:szCs w:val="32"/>
          <w:u w:val="none"/>
          <w:shd w:val="clear"/>
          <w:vertAlign w:val="baseline"/>
          <w:lang w:val="en-US" w:eastAsia="zh-CN"/>
        </w:rPr>
      </w:pPr>
      <w:r>
        <w:rPr>
          <w:rFonts w:hint="eastAsia" w:ascii="黑体" w:hAnsi="黑体" w:eastAsia="黑体" w:cs="黑体"/>
          <w:snapToGrid/>
          <w:color w:val="auto"/>
          <w:spacing w:val="0"/>
          <w:w w:val="100"/>
          <w:position w:val="0"/>
          <w:sz w:val="32"/>
          <w:szCs w:val="32"/>
          <w:u w:val="none"/>
          <w:shd w:val="clear"/>
          <w:vertAlign w:val="baseline"/>
          <w:lang w:val="en-US" w:eastAsia="zh-CN"/>
        </w:rPr>
        <w:t>第二章  征收程序</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第六条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县人民政府将征收土地方案依法报有批准权的人民政府批准前，</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应当发布征收土地预公告，并开展拟征收土地现状调查和社会稳定风险评估。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第七条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征收土地预公告应当包括征收范围（</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附图并张贴</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）、征收目的、开展土地现状调查的安排等内容，</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并</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应当采用有利于社会公众知晓的方式，在拟征收土地所在的乡镇人民政府</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政务公开栏</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和村（</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社区）公务公开栏及</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村民小组范围内</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显著位置公开。</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预公告时间不少于10个工作日。</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征收土地预公告张贴发布由征收实施机构负责，</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需于张贴当日</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对</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张贴情况</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采取摄影</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摄像等方式固定相关证据</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第八条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自征收土地预公告发布之日起一年内，在</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拟征地范围不得</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实施</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下列行为：</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一</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）新批宅基地或其他集体建设用地；</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二</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）审批或延续登记改变土地、房屋性质和用途；</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三</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）新建、改建、扩建房屋或其他建（构）筑物，办理房屋或土地流转，核发房屋或土地权属证书；</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四</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）突击进行室内室外装修（饰）等；</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五</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）办理生态农业、畜牧水产养殖、</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休闲娱乐</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等经营性手续；</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六</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）以拟征收房屋为经营场所办理</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市场</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、税务或其他注册登记手续；</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七</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）抢栽抢种花卉、苗木、中药材或超正常密度补植及葬坟、修坟等；</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八</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）其他不当增加</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征收</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补偿</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安置</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费用的行为。</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有上述情形的，</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不得作为补偿安置的依据。</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第九条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征收土地预公告</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发布后，应当进行土地现状调查。</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土地现状调查</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由征收实施机构负责实施，</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应当查明土地的位置、权属、地类、面积，以及农村村民住宅、其他地上附着物和青苗等的权属、种类、数量等情况。</w:t>
      </w:r>
      <w:bookmarkStart w:id="0" w:name="No105_Z4J3T26K4"/>
      <w:bookmarkEnd w:id="0"/>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调查结果</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由</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被征收土地所有权人（</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农村集体经济组织、村民小组</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）盖章确认及3名以上被征地农民签字见证，</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并附签字农民身份证复印件和联系电话</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拟征收土地上农村住宅、青苗和其他地上附着物调查结果由附着物所有权人、使用权人签字确认。不同意签字或者因客观原因无法签字的，可以对调查结果予以公证或者采取摄影、摄像等方式固定相关证据。拟征收土地现状调查结果公示应当不少于5个工作日。</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第十条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社会稳定风险评估</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由征收实施机构负责组织，</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应当对征收土地的社会稳定风险状况进行综合研判，确定风险点</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和风险等级</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，提出风险防范措施和处置预案。社会稳定风险评估应当有被征地的农村集体经济组织及其成员、村民委员会和其他利害关系人参加，评估结果是申请征收土地的重要依据。</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第十一条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根据社会稳定风险评估，结合土地现状调查情况，县人民政府组织自然资源、财政、农业农村、人力资源和社会保障等部门</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拟定征地补偿安置方案。征地补偿安置方案应当包括征收范围、土地现状、征收目的、补偿方式和标准、安置对象、安置方式、社会保障等内容。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征地补偿安置方案</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拟定后，</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应当在拟征收土地所在的乡镇人民政府政务公开栏和村（</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社区）公务公开栏</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及村民小组显著位置予以公告，公告时间不少于30日。公告应当同时载明办理补偿登记的方式和期限、异议反馈渠道等内容。</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公告张贴由征收实施机构负责，并在张贴当日需对张贴情况采取摄影、摄像等方式固定相关证据。</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第十二条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拟征收土地的所有权人、使用权人应当在</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征地补偿安置方案</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公告规定</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的</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期限内</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进行补偿登记。未在规定期限内登记的，以公示的土地现状调查结果作为征地补偿安置依据</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在征地安置补偿方案公告期内，有下列情形之一的，县</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人民政府应当</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在公告期满后15日内组织听证，</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认为确需修改的，应当组织修改，并重新公布，公布时间不少于5个工作日。</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一</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）二分之一</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以上</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被征地的农村集体经济组织成员认为征地补偿安置方案不符合法律、法规规定的。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二</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）被征地农村集体经济组织及被征地农村集体经济组织成员、利害关系人申请听证且符合听证规定的。</w:t>
      </w:r>
    </w:p>
    <w:p>
      <w:pPr>
        <w:keepNext w:val="0"/>
        <w:keepLines w:val="0"/>
        <w:pageBreakBefore w:val="0"/>
        <w:shd w:val="clear" w:color="auto" w:fill="auto"/>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第十三条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征</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地</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补偿安置方案确定后，</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由征收实施机构</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与拟征收土地的所有权人、使用权人签订征</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地</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补偿安置协议</w:t>
      </w:r>
      <w:bookmarkStart w:id="1" w:name="No115_Z4J3T29K2"/>
      <w:bookmarkEnd w:id="1"/>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w:t>
      </w:r>
    </w:p>
    <w:p>
      <w:pPr>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征地</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前期工作完成后，</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由征收实施机构负责将征地前期资料提交给自然资源部门组织实施申请征收土地报批工作，并由县</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人民政府</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报有批准权的人民政府批准。</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第十四条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征收土地申请经依法批准后，</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县</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人民政府应当自收到批准文件之日起15个工作日内</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组织征收实施机构在</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拟征收土地所在的乡镇人民政府</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政务公开栏</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和村（</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社区）公务公开栏及</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村民小组</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显著位置</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发布征收土地公告。公告应当载明批准征地机关、批准文号、征收土地的批准用途、权属、范围、面积以及征地补偿标准、征收时间等。</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第十五条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因征收导致全部或部分集体土地所有权、使用权消灭的，由县自然资源局依据土地征收批准文件等，报请县人民政府后，不动产登记机构依法办理注销或变更登记。县农业农村、林业等部门同时做好承包经营权合同的变更等工作。</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Times New Roman" w:hAnsi="Times New Roman" w:eastAsia="仿宋_GB2312" w:cs="Times New Roman"/>
          <w:b/>
          <w:bCs/>
          <w:snapToGrid/>
          <w:color w:val="auto"/>
          <w:spacing w:val="0"/>
          <w:w w:val="100"/>
          <w:position w:val="0"/>
          <w:sz w:val="32"/>
          <w:szCs w:val="32"/>
          <w:u w:val="none"/>
          <w:shd w:val="clear"/>
          <w:vertAlign w:val="baseline"/>
          <w:lang w:val="en-US" w:eastAsia="zh-CN"/>
        </w:rPr>
        <w:t>第十六条</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　</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对个别未签订征</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地</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补偿安置协议的，</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县</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人民政府应当作出征</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地</w:t>
      </w:r>
      <w:r>
        <w:rPr>
          <w:rFonts w:hint="eastAsia" w:ascii="Times New Roman" w:hAnsi="Times New Roman" w:eastAsia="仿宋_GB2312" w:cs="Times New Roman"/>
          <w:snapToGrid/>
          <w:color w:val="auto"/>
          <w:spacing w:val="0"/>
          <w:w w:val="100"/>
          <w:position w:val="0"/>
          <w:sz w:val="32"/>
          <w:szCs w:val="32"/>
          <w:u w:val="none"/>
          <w:shd w:val="clear"/>
          <w:vertAlign w:val="baseline"/>
          <w:lang w:val="zh-CN" w:eastAsia="zh-CN"/>
        </w:rPr>
        <w:t>补偿安置决定，</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并依法组织实施。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第三章  补偿标准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 w:hAnsi="仿宋" w:eastAsia="仿宋" w:cs="仿宋"/>
          <w:bCs/>
          <w:color w:val="auto"/>
          <w:kern w:val="2"/>
          <w:sz w:val="32"/>
          <w:szCs w:val="32"/>
        </w:rPr>
      </w:pPr>
      <w:r>
        <w:rPr>
          <w:rFonts w:hint="eastAsia" w:ascii="仿宋" w:hAnsi="仿宋" w:eastAsia="仿宋" w:cs="仿宋"/>
          <w:b/>
          <w:bCs/>
          <w:color w:val="auto"/>
          <w:kern w:val="2"/>
          <w:sz w:val="32"/>
          <w:szCs w:val="32"/>
        </w:rPr>
        <w:t>第十</w:t>
      </w:r>
      <w:r>
        <w:rPr>
          <w:rFonts w:hint="eastAsia" w:ascii="仿宋" w:hAnsi="仿宋" w:eastAsia="仿宋" w:cs="仿宋"/>
          <w:b/>
          <w:bCs/>
          <w:color w:val="auto"/>
          <w:kern w:val="2"/>
          <w:sz w:val="32"/>
          <w:szCs w:val="32"/>
          <w:lang w:val="en-US" w:eastAsia="zh-CN"/>
        </w:rPr>
        <w:t>七</w:t>
      </w:r>
      <w:r>
        <w:rPr>
          <w:rFonts w:hint="eastAsia" w:ascii="仿宋" w:hAnsi="仿宋" w:eastAsia="仿宋" w:cs="仿宋"/>
          <w:b/>
          <w:bCs/>
          <w:color w:val="auto"/>
          <w:kern w:val="2"/>
          <w:sz w:val="32"/>
          <w:szCs w:val="32"/>
        </w:rPr>
        <w:t>条</w:t>
      </w:r>
      <w:r>
        <w:rPr>
          <w:rFonts w:hint="eastAsia" w:ascii="仿宋" w:hAnsi="仿宋" w:eastAsia="仿宋" w:cs="仿宋"/>
          <w:color w:val="auto"/>
          <w:kern w:val="2"/>
          <w:sz w:val="32"/>
          <w:szCs w:val="32"/>
        </w:rPr>
        <w:t>　</w:t>
      </w:r>
      <w:r>
        <w:rPr>
          <w:rFonts w:hint="eastAsia" w:ascii="仿宋" w:hAnsi="仿宋" w:eastAsia="仿宋" w:cs="仿宋"/>
          <w:bCs/>
          <w:color w:val="auto"/>
          <w:sz w:val="32"/>
          <w:szCs w:val="32"/>
        </w:rPr>
        <w:t>县</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kern w:val="2"/>
          <w:sz w:val="32"/>
          <w:szCs w:val="32"/>
          <w:lang w:val="zh-CN"/>
        </w:rPr>
        <w:t>民政府及时落实土地补偿费、安置补助费、农村村民住宅以及其他地上附着物和青苗等的补偿费用、社会保障费用等，</w:t>
      </w:r>
      <w:r>
        <w:rPr>
          <w:rFonts w:hint="eastAsia" w:ascii="仿宋" w:hAnsi="仿宋" w:eastAsia="仿宋" w:cs="仿宋"/>
          <w:bCs/>
          <w:color w:val="auto"/>
          <w:kern w:val="2"/>
          <w:sz w:val="32"/>
          <w:szCs w:val="32"/>
        </w:rPr>
        <w:t>并保证足额到位，专款专用。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
          <w:bCs/>
          <w:color w:val="auto"/>
          <w:kern w:val="2"/>
          <w:sz w:val="32"/>
          <w:szCs w:val="32"/>
        </w:rPr>
        <w:t>第十</w:t>
      </w:r>
      <w:r>
        <w:rPr>
          <w:rFonts w:hint="eastAsia" w:ascii="仿宋" w:hAnsi="仿宋" w:eastAsia="仿宋" w:cs="仿宋"/>
          <w:b/>
          <w:bCs/>
          <w:color w:val="auto"/>
          <w:kern w:val="2"/>
          <w:sz w:val="32"/>
          <w:szCs w:val="32"/>
          <w:lang w:val="en-US" w:eastAsia="zh-CN"/>
        </w:rPr>
        <w:t>八</w:t>
      </w:r>
      <w:r>
        <w:rPr>
          <w:rFonts w:hint="eastAsia" w:ascii="仿宋" w:hAnsi="仿宋" w:eastAsia="仿宋" w:cs="仿宋"/>
          <w:b/>
          <w:bCs/>
          <w:color w:val="auto"/>
          <w:kern w:val="2"/>
          <w:sz w:val="32"/>
          <w:szCs w:val="32"/>
        </w:rPr>
        <w:t>条</w:t>
      </w:r>
      <w:r>
        <w:rPr>
          <w:rFonts w:hint="eastAsia" w:ascii="仿宋" w:hAnsi="仿宋" w:eastAsia="仿宋" w:cs="仿宋"/>
          <w:color w:val="auto"/>
          <w:kern w:val="2"/>
          <w:sz w:val="32"/>
          <w:szCs w:val="32"/>
        </w:rPr>
        <w:t>　</w:t>
      </w:r>
      <w:r>
        <w:rPr>
          <w:rFonts w:hint="eastAsia" w:ascii="仿宋" w:hAnsi="仿宋" w:eastAsia="仿宋" w:cs="仿宋"/>
          <w:bCs/>
          <w:color w:val="auto"/>
          <w:kern w:val="2"/>
          <w:sz w:val="32"/>
          <w:szCs w:val="32"/>
          <w:lang w:val="zh-CN"/>
        </w:rPr>
        <w:t>征收集体土地按照被征收土地的批准用途给予补偿。</w:t>
      </w:r>
      <w:r>
        <w:rPr>
          <w:rFonts w:hint="eastAsia" w:ascii="仿宋" w:hAnsi="仿宋" w:eastAsia="仿宋" w:cs="仿宋"/>
          <w:bCs/>
          <w:color w:val="auto"/>
          <w:kern w:val="2"/>
          <w:sz w:val="32"/>
          <w:szCs w:val="32"/>
        </w:rPr>
        <w:t>征地补偿标准</w:t>
      </w:r>
      <w:r>
        <w:rPr>
          <w:rFonts w:hint="eastAsia" w:ascii="仿宋" w:hAnsi="仿宋" w:eastAsia="仿宋" w:cs="仿宋"/>
          <w:bCs/>
          <w:color w:val="auto"/>
          <w:kern w:val="2"/>
          <w:sz w:val="32"/>
          <w:szCs w:val="32"/>
          <w:lang w:eastAsia="zh-CN"/>
        </w:rPr>
        <w:t>、</w:t>
      </w:r>
      <w:r>
        <w:rPr>
          <w:rFonts w:hint="eastAsia" w:ascii="仿宋" w:hAnsi="仿宋" w:eastAsia="仿宋" w:cs="仿宋"/>
          <w:bCs/>
          <w:color w:val="auto"/>
          <w:kern w:val="2"/>
          <w:sz w:val="32"/>
          <w:szCs w:val="32"/>
        </w:rPr>
        <w:t>等级区域划分按照</w:t>
      </w:r>
      <w:r>
        <w:rPr>
          <w:rFonts w:hint="eastAsia" w:ascii="仿宋" w:hAnsi="仿宋" w:eastAsia="仿宋" w:cs="仿宋"/>
          <w:bCs/>
          <w:color w:val="auto"/>
          <w:kern w:val="2"/>
          <w:sz w:val="32"/>
          <w:szCs w:val="32"/>
          <w:lang w:val="zh-CN"/>
        </w:rPr>
        <w:fldChar w:fldCharType="begin"/>
      </w:r>
      <w:r>
        <w:rPr>
          <w:rFonts w:hint="eastAsia" w:ascii="仿宋" w:hAnsi="仿宋" w:eastAsia="仿宋" w:cs="仿宋"/>
          <w:bCs/>
          <w:color w:val="auto"/>
          <w:kern w:val="2"/>
          <w:sz w:val="32"/>
          <w:szCs w:val="32"/>
          <w:lang w:val="zh-CN"/>
        </w:rPr>
        <w:instrText xml:space="preserve">HYPERLINK "https://alphalawyer.cn/ilawregu-search/api/v1/lawregu/redict/62d8b4a75b391d83fcea2333fceb30d4"</w:instrText>
      </w:r>
      <w:r>
        <w:rPr>
          <w:rFonts w:hint="eastAsia" w:ascii="仿宋" w:hAnsi="仿宋" w:eastAsia="仿宋" w:cs="仿宋"/>
          <w:bCs/>
          <w:color w:val="auto"/>
          <w:kern w:val="2"/>
          <w:sz w:val="32"/>
          <w:szCs w:val="32"/>
          <w:lang w:val="zh-CN"/>
        </w:rPr>
        <w:fldChar w:fldCharType="separate"/>
      </w:r>
      <w:r>
        <w:rPr>
          <w:rFonts w:hint="eastAsia" w:ascii="仿宋" w:hAnsi="仿宋" w:eastAsia="仿宋" w:cs="仿宋"/>
          <w:bCs/>
          <w:color w:val="auto"/>
          <w:kern w:val="2"/>
          <w:sz w:val="32"/>
          <w:szCs w:val="32"/>
          <w:lang w:val="zh-CN"/>
        </w:rPr>
        <w:t>湖南省人民政府</w:t>
      </w:r>
      <w:r>
        <w:rPr>
          <w:rFonts w:hint="eastAsia" w:ascii="仿宋" w:hAnsi="仿宋" w:eastAsia="仿宋" w:cs="仿宋"/>
          <w:bCs/>
          <w:color w:val="auto"/>
          <w:kern w:val="2"/>
          <w:sz w:val="32"/>
          <w:szCs w:val="32"/>
          <w:lang w:val="en-US" w:eastAsia="zh-CN"/>
        </w:rPr>
        <w:t>和怀化市人民政府</w:t>
      </w:r>
      <w:r>
        <w:rPr>
          <w:rFonts w:hint="eastAsia" w:ascii="仿宋" w:hAnsi="仿宋" w:eastAsia="仿宋" w:cs="仿宋"/>
          <w:bCs/>
          <w:color w:val="auto"/>
          <w:kern w:val="2"/>
          <w:sz w:val="32"/>
          <w:szCs w:val="32"/>
        </w:rPr>
        <w:t>确定的征地补偿</w:t>
      </w:r>
      <w:r>
        <w:rPr>
          <w:rFonts w:hint="eastAsia" w:ascii="仿宋" w:hAnsi="仿宋" w:eastAsia="仿宋" w:cs="仿宋"/>
          <w:bCs/>
          <w:color w:val="auto"/>
          <w:kern w:val="2"/>
          <w:sz w:val="32"/>
          <w:szCs w:val="32"/>
          <w:lang w:val="zh-CN"/>
        </w:rPr>
        <w:t>标准</w:t>
      </w:r>
      <w:r>
        <w:rPr>
          <w:rFonts w:hint="eastAsia" w:ascii="仿宋" w:hAnsi="仿宋" w:eastAsia="仿宋" w:cs="仿宋"/>
          <w:bCs/>
          <w:color w:val="auto"/>
          <w:kern w:val="2"/>
          <w:sz w:val="32"/>
          <w:szCs w:val="32"/>
        </w:rPr>
        <w:fldChar w:fldCharType="end"/>
      </w:r>
      <w:r>
        <w:rPr>
          <w:rFonts w:hint="eastAsia" w:ascii="仿宋" w:hAnsi="仿宋" w:eastAsia="仿宋" w:cs="仿宋"/>
          <w:bCs/>
          <w:color w:val="auto"/>
          <w:kern w:val="2"/>
          <w:sz w:val="32"/>
          <w:szCs w:val="32"/>
        </w:rPr>
        <w:t>执行。</w:t>
      </w:r>
      <w:r>
        <w:rPr>
          <w:rFonts w:hint="eastAsia" w:ascii="仿宋" w:hAnsi="仿宋" w:eastAsia="仿宋" w:cs="仿宋"/>
          <w:bCs/>
          <w:color w:val="auto"/>
          <w:kern w:val="2"/>
          <w:sz w:val="32"/>
          <w:szCs w:val="32"/>
          <w:lang w:val="zh-CN"/>
        </w:rPr>
        <w:t>补偿面积按照水平投影面积计算。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征地补偿标准等级区域划分详见附件1。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方正仿宋简体" w:eastAsia="仿宋" w:cs="仿宋"/>
          <w:color w:val="auto"/>
          <w:kern w:val="2"/>
          <w:sz w:val="32"/>
          <w:szCs w:val="32"/>
          <w:lang w:val="en-US" w:eastAsia="zh-CN"/>
        </w:rPr>
      </w:pPr>
      <w:r>
        <w:rPr>
          <w:rFonts w:hint="eastAsia" w:ascii="仿宋" w:hAnsi="仿宋" w:eastAsia="仿宋" w:cs="仿宋"/>
          <w:bCs/>
          <w:color w:val="auto"/>
          <w:kern w:val="2"/>
          <w:sz w:val="32"/>
          <w:szCs w:val="32"/>
          <w:lang w:val="zh-CN"/>
        </w:rPr>
        <w:t>征地补偿标准详见附件2。征收</w:t>
      </w:r>
      <w:r>
        <w:rPr>
          <w:rFonts w:hint="eastAsia" w:ascii="仿宋" w:hAnsi="仿宋" w:eastAsia="仿宋" w:cs="仿宋"/>
          <w:bCs/>
          <w:color w:val="auto"/>
          <w:kern w:val="2"/>
          <w:sz w:val="32"/>
          <w:szCs w:val="32"/>
          <w:lang w:val="en-US" w:eastAsia="zh-CN"/>
        </w:rPr>
        <w:t>水田的，按本标准1倍执行；征收园地、林地的，按本标准0.67倍执行；征收旱地、其他农用土的按本标准0.83倍执行；征收未利用地的，按本标准的0.5倍执行；征收永久基本农田的，按本标准的1.68倍执行；征收“恢复属性”地类（指因农业结构调整等原因，将耕地改为园地、林地、草地和坑塘水面等非耕地，且耕作层未被破坏，经国土调查认定可通过清理和工程措施恢复为耕地的土地）的，按本标准的0.8倍执行；征收集体建设用地按怀化市人民政府制定的最新文件标准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
          <w:bCs w:val="0"/>
          <w:color w:val="auto"/>
          <w:kern w:val="2"/>
          <w:sz w:val="32"/>
          <w:szCs w:val="32"/>
          <w:lang w:val="en-US" w:eastAsia="zh-CN"/>
        </w:rPr>
        <w:t>第十九条</w:t>
      </w:r>
      <w:r>
        <w:rPr>
          <w:rFonts w:hint="eastAsia" w:ascii="仿宋" w:hAnsi="仿宋" w:eastAsia="仿宋" w:cs="仿宋"/>
          <w:bCs/>
          <w:color w:val="auto"/>
          <w:kern w:val="2"/>
          <w:sz w:val="32"/>
          <w:szCs w:val="32"/>
          <w:lang w:val="en-US" w:eastAsia="zh-CN"/>
        </w:rPr>
        <w:t xml:space="preserve">  </w:t>
      </w:r>
      <w:r>
        <w:rPr>
          <w:rFonts w:hint="eastAsia" w:ascii="仿宋" w:hAnsi="仿宋" w:eastAsia="仿宋" w:cs="仿宋"/>
          <w:bCs/>
          <w:color w:val="auto"/>
          <w:kern w:val="2"/>
          <w:sz w:val="32"/>
          <w:szCs w:val="32"/>
          <w:lang w:val="zh-CN"/>
        </w:rPr>
        <w:t>青苗补偿费按照被征收土地的批准用途给予补偿，青苗补偿费</w:t>
      </w:r>
      <w:r>
        <w:rPr>
          <w:rFonts w:hint="eastAsia" w:ascii="仿宋" w:hAnsi="仿宋" w:eastAsia="仿宋" w:cs="仿宋"/>
          <w:bCs/>
          <w:color w:val="auto"/>
          <w:kern w:val="2"/>
          <w:sz w:val="32"/>
          <w:szCs w:val="32"/>
        </w:rPr>
        <w:t>归青苗</w:t>
      </w:r>
      <w:r>
        <w:rPr>
          <w:rFonts w:hint="eastAsia" w:ascii="仿宋" w:hAnsi="仿宋" w:eastAsia="仿宋" w:cs="仿宋"/>
          <w:bCs/>
          <w:color w:val="auto"/>
          <w:kern w:val="2"/>
          <w:sz w:val="32"/>
          <w:szCs w:val="32"/>
          <w:lang w:val="zh-CN"/>
        </w:rPr>
        <w:t>所有权人所有。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rPr>
      </w:pPr>
      <w:r>
        <w:rPr>
          <w:rFonts w:hint="eastAsia" w:ascii="仿宋" w:hAnsi="仿宋" w:eastAsia="仿宋" w:cs="仿宋"/>
          <w:bCs/>
          <w:color w:val="auto"/>
          <w:kern w:val="2"/>
          <w:sz w:val="32"/>
          <w:szCs w:val="32"/>
          <w:lang w:val="zh-CN"/>
        </w:rPr>
        <w:t>征收范围内水田、旱地的青苗补偿标准按照附件</w:t>
      </w:r>
      <w:r>
        <w:rPr>
          <w:rFonts w:hint="eastAsia" w:ascii="仿宋" w:hAnsi="仿宋" w:eastAsia="仿宋" w:cs="仿宋"/>
          <w:bCs/>
          <w:color w:val="auto"/>
          <w:kern w:val="2"/>
          <w:sz w:val="32"/>
          <w:szCs w:val="32"/>
          <w:lang w:val="en-US" w:eastAsia="zh-CN"/>
        </w:rPr>
        <w:t>3</w:t>
      </w:r>
      <w:r>
        <w:rPr>
          <w:rFonts w:hint="eastAsia" w:ascii="仿宋" w:hAnsi="仿宋" w:eastAsia="仿宋" w:cs="仿宋"/>
          <w:bCs/>
          <w:color w:val="auto"/>
          <w:kern w:val="2"/>
          <w:sz w:val="32"/>
          <w:szCs w:val="32"/>
          <w:lang w:val="zh-CN"/>
        </w:rPr>
        <w:t>执行。经批准的专业菜地和专业鱼（池）塘的青苗补偿标准参照水田青苗补偿标准执行；</w:t>
      </w:r>
      <w:r>
        <w:rPr>
          <w:rFonts w:hint="eastAsia" w:ascii="仿宋" w:hAnsi="仿宋" w:eastAsia="仿宋" w:cs="仿宋"/>
          <w:bCs/>
          <w:color w:val="auto"/>
          <w:kern w:val="2"/>
          <w:sz w:val="32"/>
          <w:szCs w:val="32"/>
        </w:rPr>
        <w:t>用于养殖水产的山塘水库的青苗补偿标准参照邻近旱地补偿标准执行。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征收范围内成片用材林、果树、经济林的青苗补偿标准按照附件</w:t>
      </w:r>
      <w:r>
        <w:rPr>
          <w:rFonts w:hint="eastAsia" w:ascii="仿宋" w:hAnsi="仿宋" w:eastAsia="仿宋" w:cs="仿宋"/>
          <w:bCs/>
          <w:color w:val="auto"/>
          <w:kern w:val="2"/>
          <w:sz w:val="32"/>
          <w:szCs w:val="32"/>
          <w:lang w:val="en-US" w:eastAsia="zh-CN"/>
        </w:rPr>
        <w:t>4</w:t>
      </w:r>
      <w:r>
        <w:rPr>
          <w:rFonts w:hint="eastAsia" w:ascii="仿宋" w:hAnsi="仿宋" w:eastAsia="仿宋" w:cs="仿宋"/>
          <w:bCs/>
          <w:color w:val="auto"/>
          <w:kern w:val="2"/>
          <w:sz w:val="32"/>
          <w:szCs w:val="32"/>
          <w:lang w:val="zh-CN"/>
        </w:rPr>
        <w:t>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征收建设用地范围内零星树木、竹类、果树、经济林、苗木、花卉的青苗补偿标准按照附件</w:t>
      </w:r>
      <w:r>
        <w:rPr>
          <w:rFonts w:hint="eastAsia" w:ascii="仿宋" w:hAnsi="仿宋" w:eastAsia="仿宋" w:cs="仿宋"/>
          <w:bCs/>
          <w:color w:val="auto"/>
          <w:kern w:val="2"/>
          <w:sz w:val="32"/>
          <w:szCs w:val="32"/>
          <w:lang w:val="en-US" w:eastAsia="zh-CN"/>
        </w:rPr>
        <w:t>5</w:t>
      </w:r>
      <w:r>
        <w:rPr>
          <w:rFonts w:hint="eastAsia" w:ascii="仿宋" w:hAnsi="仿宋" w:eastAsia="仿宋" w:cs="仿宋"/>
          <w:bCs/>
          <w:color w:val="auto"/>
          <w:kern w:val="2"/>
          <w:sz w:val="32"/>
          <w:szCs w:val="32"/>
          <w:lang w:val="zh-CN"/>
        </w:rPr>
        <w:t>执行。</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经批准种植的农产品、中草药，可采取评估方式给予补偿。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
          <w:bCs/>
          <w:color w:val="auto"/>
          <w:kern w:val="2"/>
          <w:sz w:val="32"/>
          <w:szCs w:val="32"/>
        </w:rPr>
        <w:t>第</w:t>
      </w:r>
      <w:r>
        <w:rPr>
          <w:rFonts w:hint="eastAsia" w:ascii="仿宋" w:hAnsi="仿宋" w:eastAsia="仿宋" w:cs="仿宋"/>
          <w:b/>
          <w:bCs/>
          <w:color w:val="auto"/>
          <w:kern w:val="2"/>
          <w:sz w:val="32"/>
          <w:szCs w:val="32"/>
          <w:lang w:val="en-US" w:eastAsia="zh-CN"/>
        </w:rPr>
        <w:t>二</w:t>
      </w:r>
      <w:r>
        <w:rPr>
          <w:rFonts w:hint="eastAsia" w:ascii="仿宋" w:hAnsi="仿宋" w:eastAsia="仿宋" w:cs="仿宋"/>
          <w:b/>
          <w:bCs/>
          <w:color w:val="auto"/>
          <w:kern w:val="2"/>
          <w:sz w:val="32"/>
          <w:szCs w:val="32"/>
        </w:rPr>
        <w:t>十条</w:t>
      </w:r>
      <w:r>
        <w:rPr>
          <w:rFonts w:hint="eastAsia" w:ascii="仿宋" w:hAnsi="仿宋" w:eastAsia="仿宋" w:cs="仿宋"/>
          <w:color w:val="auto"/>
          <w:kern w:val="2"/>
          <w:sz w:val="32"/>
          <w:szCs w:val="32"/>
        </w:rPr>
        <w:t>　</w:t>
      </w:r>
      <w:r>
        <w:rPr>
          <w:rFonts w:hint="eastAsia" w:ascii="仿宋" w:hAnsi="仿宋" w:eastAsia="仿宋" w:cs="仿宋"/>
          <w:bCs/>
          <w:color w:val="auto"/>
          <w:kern w:val="2"/>
          <w:sz w:val="32"/>
          <w:szCs w:val="32"/>
          <w:lang w:val="zh-CN"/>
        </w:rPr>
        <w:t>自</w:t>
      </w:r>
      <w:r>
        <w:rPr>
          <w:rFonts w:hint="eastAsia" w:ascii="仿宋" w:hAnsi="仿宋" w:eastAsia="仿宋" w:cs="仿宋"/>
          <w:bCs/>
          <w:color w:val="auto"/>
          <w:kern w:val="2"/>
          <w:sz w:val="32"/>
          <w:szCs w:val="32"/>
        </w:rPr>
        <w:t>征收土地预公告发布</w:t>
      </w:r>
      <w:r>
        <w:rPr>
          <w:rFonts w:hint="eastAsia" w:ascii="仿宋" w:hAnsi="仿宋" w:eastAsia="仿宋" w:cs="仿宋"/>
          <w:bCs/>
          <w:color w:val="auto"/>
          <w:kern w:val="2"/>
          <w:sz w:val="32"/>
          <w:szCs w:val="32"/>
          <w:lang w:val="zh-CN"/>
        </w:rPr>
        <w:t>之日起，根据“一户一宅”的原则，被征收户一户只能认定拥有一处宅基地。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合法手续的房屋按实际面积进行补偿；</w:t>
      </w:r>
      <w:r>
        <w:rPr>
          <w:rFonts w:hint="eastAsia" w:ascii="仿宋" w:hAnsi="仿宋" w:eastAsia="仿宋" w:cs="仿宋"/>
          <w:bCs/>
          <w:color w:val="auto"/>
          <w:kern w:val="2"/>
          <w:sz w:val="32"/>
          <w:szCs w:val="32"/>
        </w:rPr>
        <w:t>因特殊情况未办理</w:t>
      </w:r>
      <w:r>
        <w:rPr>
          <w:rFonts w:hint="eastAsia" w:ascii="仿宋" w:hAnsi="仿宋" w:eastAsia="仿宋" w:cs="仿宋"/>
          <w:bCs/>
          <w:color w:val="auto"/>
          <w:kern w:val="2"/>
          <w:sz w:val="32"/>
          <w:szCs w:val="32"/>
          <w:lang w:val="zh-CN"/>
        </w:rPr>
        <w:t>手续的房屋，经审查同时符合下列条件的，补办建房手续及补交税费后，按户计算被征收房屋合法建筑面积；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w:t>
      </w:r>
      <w:r>
        <w:rPr>
          <w:rFonts w:hint="eastAsia" w:ascii="仿宋" w:hAnsi="仿宋" w:eastAsia="仿宋" w:cs="仿宋"/>
          <w:bCs/>
          <w:color w:val="auto"/>
          <w:kern w:val="2"/>
          <w:sz w:val="32"/>
          <w:szCs w:val="32"/>
        </w:rPr>
        <w:t>一）</w:t>
      </w:r>
      <w:r>
        <w:rPr>
          <w:rFonts w:hint="eastAsia" w:ascii="仿宋" w:hAnsi="仿宋" w:eastAsia="仿宋" w:cs="仿宋"/>
          <w:bCs/>
          <w:color w:val="auto"/>
          <w:kern w:val="2"/>
          <w:sz w:val="32"/>
          <w:szCs w:val="32"/>
          <w:lang w:val="zh-CN"/>
        </w:rPr>
        <w:t>被征收户具有农村村民建房资格；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w:t>
      </w:r>
      <w:r>
        <w:rPr>
          <w:rFonts w:hint="eastAsia" w:ascii="仿宋" w:hAnsi="仿宋" w:eastAsia="仿宋" w:cs="仿宋"/>
          <w:bCs/>
          <w:color w:val="auto"/>
          <w:kern w:val="2"/>
          <w:sz w:val="32"/>
          <w:szCs w:val="32"/>
        </w:rPr>
        <w:t>二）</w:t>
      </w:r>
      <w:r>
        <w:rPr>
          <w:rFonts w:hint="eastAsia" w:ascii="仿宋" w:hAnsi="仿宋" w:eastAsia="仿宋" w:cs="仿宋"/>
          <w:bCs/>
          <w:color w:val="auto"/>
          <w:kern w:val="2"/>
          <w:sz w:val="32"/>
          <w:szCs w:val="32"/>
          <w:lang w:val="zh-CN"/>
        </w:rPr>
        <w:t>因政府规划控制停办村民建房审批手续；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rPr>
        <w:t>（三）</w:t>
      </w:r>
      <w:r>
        <w:rPr>
          <w:rFonts w:hint="eastAsia" w:ascii="仿宋" w:hAnsi="仿宋" w:eastAsia="仿宋" w:cs="仿宋"/>
          <w:bCs/>
          <w:color w:val="auto"/>
          <w:kern w:val="2"/>
          <w:sz w:val="32"/>
          <w:szCs w:val="32"/>
          <w:lang w:val="zh-CN"/>
        </w:rPr>
        <w:t>被征收户仅有一处住房，房屋生活设施齐全且一直居住。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在同一栋房屋中居住，不管是否分户、分家，均只对原合法批准或登记的权利人进行补偿。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建房占用耕地面积在130平方米以内、占用其他土地面积在180平方米以内或占用未利用地210平方米以内的房屋据实予以补偿，超出占地面积</w:t>
      </w:r>
      <w:r>
        <w:rPr>
          <w:rFonts w:hint="eastAsia" w:ascii="仿宋" w:hAnsi="仿宋" w:eastAsia="仿宋" w:cs="仿宋"/>
          <w:bCs/>
          <w:color w:val="auto"/>
          <w:kern w:val="2"/>
          <w:sz w:val="32"/>
          <w:szCs w:val="32"/>
          <w:lang w:val="en-US" w:eastAsia="zh-CN"/>
        </w:rPr>
        <w:t>按宅基地合法手续登记实际面积进行补偿；未能提供合法手续的视为违法建筑，不予补偿</w:t>
      </w:r>
      <w:r>
        <w:rPr>
          <w:rFonts w:hint="eastAsia" w:ascii="仿宋" w:hAnsi="仿宋" w:eastAsia="仿宋" w:cs="仿宋"/>
          <w:bCs/>
          <w:color w:val="auto"/>
          <w:kern w:val="2"/>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Cs/>
          <w:color w:val="auto"/>
          <w:sz w:val="32"/>
          <w:szCs w:val="32"/>
          <w:lang w:val="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w:t>
      </w:r>
      <w:r>
        <w:rPr>
          <w:rFonts w:hint="eastAsia" w:ascii="仿宋" w:hAnsi="仿宋" w:eastAsia="仿宋" w:cs="仿宋"/>
          <w:bCs/>
          <w:color w:val="auto"/>
          <w:sz w:val="32"/>
          <w:szCs w:val="32"/>
          <w:lang w:val="zh-CN"/>
        </w:rPr>
        <w:t>被征收</w:t>
      </w:r>
      <w:r>
        <w:rPr>
          <w:rFonts w:hint="eastAsia" w:ascii="仿宋" w:hAnsi="仿宋" w:eastAsia="仿宋" w:cs="仿宋"/>
          <w:bCs/>
          <w:color w:val="auto"/>
          <w:sz w:val="32"/>
          <w:szCs w:val="32"/>
        </w:rPr>
        <w:t>房屋</w:t>
      </w:r>
      <w:r>
        <w:rPr>
          <w:rFonts w:hint="eastAsia" w:ascii="仿宋" w:hAnsi="仿宋" w:eastAsia="仿宋" w:cs="仿宋"/>
          <w:bCs/>
          <w:color w:val="auto"/>
          <w:sz w:val="32"/>
          <w:szCs w:val="32"/>
          <w:lang w:val="zh-CN"/>
        </w:rPr>
        <w:t>合法建筑面积按照附件</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lang w:val="zh-CN"/>
        </w:rPr>
        <w:t>、附件</w:t>
      </w:r>
      <w:r>
        <w:rPr>
          <w:rFonts w:hint="eastAsia" w:ascii="仿宋" w:hAnsi="仿宋" w:eastAsia="仿宋" w:cs="仿宋"/>
          <w:bCs/>
          <w:color w:val="auto"/>
          <w:sz w:val="32"/>
          <w:szCs w:val="32"/>
          <w:lang w:val="en-US" w:eastAsia="zh-CN"/>
        </w:rPr>
        <w:t>7</w:t>
      </w:r>
      <w:r>
        <w:rPr>
          <w:rFonts w:hint="eastAsia" w:ascii="仿宋" w:hAnsi="仿宋" w:eastAsia="仿宋" w:cs="仿宋"/>
          <w:bCs/>
          <w:color w:val="auto"/>
          <w:sz w:val="32"/>
          <w:szCs w:val="32"/>
          <w:lang w:val="zh-CN"/>
        </w:rPr>
        <w:t>规定的</w:t>
      </w:r>
      <w:r>
        <w:rPr>
          <w:rFonts w:hint="eastAsia" w:ascii="仿宋" w:hAnsi="仿宋" w:eastAsia="仿宋" w:cs="仿宋"/>
          <w:bCs/>
          <w:color w:val="auto"/>
          <w:sz w:val="32"/>
          <w:szCs w:val="32"/>
        </w:rPr>
        <w:t>房屋</w:t>
      </w:r>
      <w:r>
        <w:rPr>
          <w:rFonts w:hint="eastAsia" w:ascii="仿宋" w:hAnsi="仿宋" w:eastAsia="仿宋" w:cs="仿宋"/>
          <w:bCs/>
          <w:color w:val="auto"/>
          <w:sz w:val="32"/>
          <w:szCs w:val="32"/>
          <w:lang w:val="zh-CN"/>
        </w:rPr>
        <w:t>征收</w:t>
      </w:r>
      <w:r>
        <w:rPr>
          <w:rFonts w:hint="eastAsia" w:ascii="仿宋" w:hAnsi="仿宋" w:eastAsia="仿宋" w:cs="仿宋"/>
          <w:bCs/>
          <w:color w:val="auto"/>
          <w:sz w:val="32"/>
          <w:szCs w:val="32"/>
        </w:rPr>
        <w:t>补偿</w:t>
      </w:r>
      <w:r>
        <w:rPr>
          <w:rFonts w:hint="eastAsia" w:ascii="仿宋" w:hAnsi="仿宋" w:eastAsia="仿宋" w:cs="仿宋"/>
          <w:bCs/>
          <w:color w:val="auto"/>
          <w:sz w:val="32"/>
          <w:szCs w:val="32"/>
          <w:lang w:val="zh-CN"/>
        </w:rPr>
        <w:t>标准</w:t>
      </w:r>
      <w:r>
        <w:rPr>
          <w:rFonts w:hint="eastAsia" w:ascii="仿宋" w:hAnsi="仿宋" w:eastAsia="仿宋" w:cs="仿宋"/>
          <w:bCs/>
          <w:color w:val="auto"/>
          <w:sz w:val="32"/>
          <w:szCs w:val="32"/>
        </w:rPr>
        <w:t>执行</w:t>
      </w:r>
      <w:r>
        <w:rPr>
          <w:rFonts w:hint="eastAsia" w:ascii="仿宋" w:hAnsi="仿宋" w:eastAsia="仿宋" w:cs="仿宋"/>
          <w:bCs/>
          <w:color w:val="auto"/>
          <w:sz w:val="32"/>
          <w:szCs w:val="32"/>
          <w:lang w:val="zh-CN"/>
        </w:rPr>
        <w:t>。征收</w:t>
      </w:r>
      <w:r>
        <w:rPr>
          <w:rFonts w:hint="eastAsia" w:ascii="仿宋" w:hAnsi="仿宋" w:eastAsia="仿宋" w:cs="仿宋"/>
          <w:bCs/>
          <w:color w:val="auto"/>
          <w:sz w:val="32"/>
          <w:szCs w:val="32"/>
        </w:rPr>
        <w:t>实施机构委托具有资质的专业机构</w:t>
      </w:r>
      <w:r>
        <w:rPr>
          <w:rFonts w:hint="eastAsia" w:ascii="仿宋" w:hAnsi="仿宋" w:eastAsia="仿宋" w:cs="仿宋"/>
          <w:bCs/>
          <w:color w:val="auto"/>
          <w:sz w:val="32"/>
          <w:szCs w:val="32"/>
          <w:lang w:val="zh-CN"/>
        </w:rPr>
        <w:t>对被征收</w:t>
      </w:r>
      <w:r>
        <w:rPr>
          <w:rFonts w:hint="eastAsia" w:ascii="仿宋" w:hAnsi="仿宋" w:eastAsia="仿宋" w:cs="仿宋"/>
          <w:bCs/>
          <w:color w:val="auto"/>
          <w:sz w:val="32"/>
          <w:szCs w:val="32"/>
        </w:rPr>
        <w:t>房屋</w:t>
      </w:r>
      <w:r>
        <w:rPr>
          <w:rFonts w:hint="eastAsia" w:ascii="仿宋" w:hAnsi="仿宋" w:eastAsia="仿宋" w:cs="仿宋"/>
          <w:bCs/>
          <w:color w:val="auto"/>
          <w:sz w:val="32"/>
          <w:szCs w:val="32"/>
          <w:lang w:val="zh-CN"/>
        </w:rPr>
        <w:t>进行实地测量，并</w:t>
      </w:r>
      <w:r>
        <w:rPr>
          <w:rFonts w:hint="eastAsia" w:ascii="仿宋" w:hAnsi="仿宋" w:eastAsia="仿宋" w:cs="仿宋"/>
          <w:bCs/>
          <w:color w:val="auto"/>
          <w:sz w:val="32"/>
          <w:szCs w:val="32"/>
        </w:rPr>
        <w:t>出具测绘成果</w:t>
      </w:r>
      <w:r>
        <w:rPr>
          <w:rFonts w:hint="eastAsia" w:ascii="仿宋" w:hAnsi="仿宋" w:eastAsia="仿宋" w:cs="仿宋"/>
          <w:bCs/>
          <w:color w:val="auto"/>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lang w:val="zh-CN"/>
        </w:rPr>
      </w:pPr>
      <w:r>
        <w:rPr>
          <w:rFonts w:hint="eastAsia" w:ascii="仿宋" w:hAnsi="仿宋" w:eastAsia="仿宋" w:cs="仿宋"/>
          <w:bCs/>
          <w:color w:val="auto"/>
          <w:sz w:val="32"/>
          <w:szCs w:val="32"/>
        </w:rPr>
        <w:t>对被征收房屋的合法建筑面积装修（饰），以不超过最高补偿标准的价格包干补偿。具体按照附件</w:t>
      </w:r>
      <w:r>
        <w:rPr>
          <w:rFonts w:hint="eastAsia" w:ascii="仿宋" w:hAnsi="仿宋" w:eastAsia="仿宋" w:cs="仿宋"/>
          <w:bCs/>
          <w:color w:val="auto"/>
          <w:sz w:val="32"/>
          <w:szCs w:val="32"/>
          <w:lang w:val="en-US" w:eastAsia="zh-CN"/>
        </w:rPr>
        <w:t>8</w:t>
      </w:r>
      <w:r>
        <w:rPr>
          <w:rFonts w:hint="eastAsia" w:ascii="仿宋" w:hAnsi="仿宋" w:eastAsia="仿宋" w:cs="仿宋"/>
          <w:bCs/>
          <w:color w:val="auto"/>
          <w:sz w:val="32"/>
          <w:szCs w:val="32"/>
        </w:rPr>
        <w:t>执行。</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lang w:val="zh-CN"/>
        </w:rPr>
      </w:pPr>
      <w:r>
        <w:rPr>
          <w:rFonts w:hint="eastAsia" w:ascii="仿宋" w:hAnsi="仿宋" w:eastAsia="仿宋" w:cs="仿宋"/>
          <w:bCs/>
          <w:color w:val="auto"/>
          <w:sz w:val="32"/>
          <w:szCs w:val="32"/>
          <w:lang w:val="zh-CN"/>
        </w:rPr>
        <w:t>其他生产生活设施和地上建（构）筑物及附着物按照附件</w:t>
      </w: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lang w:val="zh-CN"/>
        </w:rPr>
        <w:t>规定的标准补偿。</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w:t>
      </w:r>
      <w:r>
        <w:rPr>
          <w:rFonts w:hint="eastAsia" w:ascii="仿宋" w:hAnsi="仿宋" w:eastAsia="仿宋" w:cs="仿宋"/>
          <w:bCs/>
          <w:color w:val="auto"/>
          <w:sz w:val="32"/>
          <w:szCs w:val="32"/>
        </w:rPr>
        <w:t>征收土地范围内的坟墓需要迁移的，按照附件</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规定的标准予以补偿。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发布征地补偿安置方案公告后，逾期未登记的，按无主坟处理；逾期未迁移的，依法向人民法院申请强制执行。</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w:t>
      </w:r>
      <w:r>
        <w:rPr>
          <w:rFonts w:hint="eastAsia" w:ascii="仿宋" w:hAnsi="仿宋" w:eastAsia="仿宋" w:cs="仿宋"/>
          <w:bCs/>
          <w:color w:val="auto"/>
          <w:sz w:val="32"/>
          <w:szCs w:val="32"/>
        </w:rPr>
        <w:t>征地范围内不需要异地恢复重建的水塘、水库、道路、水沟、水渠等生产、生活设施，按原结构和工程量以及国家规定标准补偿。</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前款规定的生产生活设施需要恢复重建的，按有关规定重建，不另行补偿。</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Cs/>
          <w:color w:val="auto"/>
          <w:sz w:val="32"/>
          <w:szCs w:val="32"/>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w:t>
      </w:r>
      <w:r>
        <w:rPr>
          <w:rFonts w:hint="eastAsia" w:ascii="仿宋" w:hAnsi="仿宋" w:eastAsia="仿宋" w:cs="仿宋"/>
          <w:bCs/>
          <w:color w:val="auto"/>
          <w:sz w:val="32"/>
          <w:szCs w:val="32"/>
        </w:rPr>
        <w:t>原属合法住宅用房，被征收人经批准改变房屋用途作经营性用房的（小卖部、理发店、诊所及从事其他小型生产经营活动），仍按原房屋性质补偿。已办理了营业执照、经营许可、税务登记证明，且在征收土地预公告发布前连续经营6个月以上的，可对实际用于经营的部分，按同类结构房屋征收标准增加24%的补偿（包括商品及营业用具自行处理、搬运等因搬迁需要补偿的一切费用）。工商营业执照、纳税证明</w:t>
      </w:r>
      <w:r>
        <w:rPr>
          <w:rFonts w:hint="eastAsia" w:ascii="仿宋" w:hAnsi="仿宋" w:eastAsia="仿宋" w:cs="仿宋"/>
          <w:bCs/>
          <w:color w:val="auto"/>
          <w:sz w:val="32"/>
          <w:szCs w:val="32"/>
          <w:lang w:val="en-US" w:eastAsia="zh-CN"/>
        </w:rPr>
        <w:t>等</w:t>
      </w:r>
      <w:r>
        <w:rPr>
          <w:rFonts w:hint="eastAsia" w:ascii="仿宋" w:hAnsi="仿宋" w:eastAsia="仿宋" w:cs="仿宋"/>
          <w:bCs/>
          <w:color w:val="auto"/>
          <w:sz w:val="32"/>
          <w:szCs w:val="32"/>
        </w:rPr>
        <w:t>每缺少一项少增加8%的补偿费，但实际补偿面积最高不得超过120平方米。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仿宋" w:hAnsi="仿宋" w:eastAsia="仿宋" w:cs="仿宋"/>
          <w:bCs/>
          <w:color w:val="auto"/>
          <w:kern w:val="2"/>
          <w:sz w:val="32"/>
          <w:szCs w:val="32"/>
        </w:rPr>
      </w:pPr>
      <w:r>
        <w:rPr>
          <w:rFonts w:hint="eastAsia" w:ascii="仿宋" w:hAnsi="仿宋" w:eastAsia="仿宋" w:cs="仿宋"/>
          <w:b/>
          <w:bCs/>
          <w:color w:val="auto"/>
          <w:kern w:val="2"/>
          <w:sz w:val="32"/>
          <w:szCs w:val="32"/>
        </w:rPr>
        <w:t>第二十</w:t>
      </w:r>
      <w:r>
        <w:rPr>
          <w:rFonts w:hint="eastAsia" w:ascii="仿宋" w:hAnsi="仿宋" w:eastAsia="仿宋" w:cs="仿宋"/>
          <w:b/>
          <w:bCs/>
          <w:color w:val="auto"/>
          <w:kern w:val="2"/>
          <w:sz w:val="32"/>
          <w:szCs w:val="32"/>
          <w:lang w:val="en-US" w:eastAsia="zh-CN"/>
        </w:rPr>
        <w:t>五</w:t>
      </w:r>
      <w:r>
        <w:rPr>
          <w:rFonts w:hint="eastAsia" w:ascii="仿宋" w:hAnsi="仿宋" w:eastAsia="仿宋" w:cs="仿宋"/>
          <w:b/>
          <w:bCs/>
          <w:color w:val="auto"/>
          <w:kern w:val="2"/>
          <w:sz w:val="32"/>
          <w:szCs w:val="32"/>
        </w:rPr>
        <w:t>条</w:t>
      </w:r>
      <w:r>
        <w:rPr>
          <w:rFonts w:hint="eastAsia" w:ascii="仿宋" w:hAnsi="仿宋" w:eastAsia="仿宋" w:cs="仿宋"/>
          <w:color w:val="auto"/>
          <w:kern w:val="2"/>
          <w:sz w:val="32"/>
          <w:szCs w:val="32"/>
        </w:rPr>
        <w:t>　</w:t>
      </w:r>
      <w:r>
        <w:rPr>
          <w:rFonts w:hint="eastAsia" w:ascii="仿宋" w:hAnsi="仿宋" w:eastAsia="仿宋" w:cs="仿宋"/>
          <w:bCs/>
          <w:color w:val="auto"/>
          <w:kern w:val="2"/>
          <w:sz w:val="32"/>
          <w:szCs w:val="32"/>
        </w:rPr>
        <w:t>征收在集体土地上修建的企业合法建（构）筑物，</w:t>
      </w:r>
      <w:r>
        <w:rPr>
          <w:rFonts w:hint="eastAsia" w:ascii="仿宋" w:hAnsi="仿宋" w:eastAsia="仿宋" w:cs="仿宋"/>
          <w:bCs/>
          <w:color w:val="auto"/>
          <w:kern w:val="2"/>
          <w:sz w:val="32"/>
          <w:szCs w:val="32"/>
          <w:lang w:val="zh-CN"/>
        </w:rPr>
        <w:t>按具有相应资质的评估机构评估确定的价格进行补偿，不予安置</w:t>
      </w:r>
      <w:r>
        <w:rPr>
          <w:rFonts w:hint="eastAsia" w:ascii="仿宋" w:hAnsi="仿宋" w:eastAsia="仿宋" w:cs="仿宋"/>
          <w:bCs/>
          <w:color w:val="auto"/>
          <w:kern w:val="2"/>
          <w:sz w:val="32"/>
          <w:szCs w:val="32"/>
        </w:rPr>
        <w:t>。涉及到生产设备需要搬迁的，按国家有关规定进行评估后，确定补偿拆卸、搬运、安装费用。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因征收造成集体土地上的企业停产、停业的，根据企业上年度纳税情况按有关规定进行评估后，补偿停产、停业直接损失，最长补偿期限不超过12个月。在征收土地预公告发布前已停产、停业的，不再补偿停产、停业损失。</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bCs/>
          <w:color w:val="auto"/>
          <w:sz w:val="32"/>
          <w:szCs w:val="32"/>
        </w:rPr>
        <w:t>第二十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w:t>
      </w:r>
      <w:r>
        <w:rPr>
          <w:rFonts w:hint="eastAsia" w:ascii="仿宋" w:hAnsi="仿宋" w:eastAsia="仿宋" w:cs="仿宋"/>
          <w:bCs/>
          <w:color w:val="auto"/>
          <w:sz w:val="32"/>
          <w:szCs w:val="32"/>
        </w:rPr>
        <w:t>征收学校、卫生院、村委会、敬老院等公益性房屋和宗教活动场所，按具有相应资质的评估机构评估确定的价值补偿，不另行安置。</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color w:val="auto"/>
          <w:spacing w:val="0"/>
          <w:sz w:val="32"/>
          <w:szCs w:val="32"/>
          <w:lang w:val="en-US" w:eastAsia="zh-CN"/>
        </w:rPr>
      </w:pPr>
      <w:r>
        <w:rPr>
          <w:rFonts w:hint="eastAsia" w:ascii="Times New Roman" w:hAnsi="Times New Roman" w:eastAsia="黑体" w:cs="Times New Roman"/>
          <w:color w:val="auto"/>
          <w:spacing w:val="0"/>
          <w:sz w:val="32"/>
          <w:szCs w:val="32"/>
          <w:lang w:val="en-US" w:eastAsia="zh-CN"/>
        </w:rPr>
        <w:t xml:space="preserve">第四章  </w:t>
      </w:r>
      <w:r>
        <w:rPr>
          <w:rFonts w:hint="default" w:ascii="Times New Roman" w:hAnsi="Times New Roman" w:eastAsia="黑体" w:cs="Times New Roman"/>
          <w:color w:val="auto"/>
          <w:spacing w:val="0"/>
          <w:sz w:val="32"/>
          <w:szCs w:val="32"/>
        </w:rPr>
        <w:t>安置资格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eastAsia" w:ascii="仿宋" w:hAnsi="仿宋" w:eastAsia="仿宋" w:cs="仿宋"/>
          <w:b/>
          <w:bCs/>
          <w:snapToGrid/>
          <w:color w:val="auto"/>
          <w:spacing w:val="0"/>
          <w:w w:val="100"/>
          <w:kern w:val="2"/>
          <w:position w:val="0"/>
          <w:sz w:val="32"/>
          <w:szCs w:val="32"/>
          <w:u w:val="none" w:color="auto"/>
          <w:shd w:val="clear" w:color="auto" w:fill="auto"/>
          <w:vertAlign w:val="baseline"/>
          <w:lang w:val="en-US" w:eastAsia="zh-CN" w:bidi="ar-SA"/>
        </w:rPr>
        <w:t>第二十七条</w:t>
      </w:r>
      <w:r>
        <w:rPr>
          <w:rFonts w:hint="default" w:ascii="Times New Roman" w:hAnsi="Times New Roman" w:eastAsia="楷体_GB2312" w:cs="Times New Roman"/>
          <w:b/>
          <w:bCs/>
          <w:snapToGrid/>
          <w:color w:val="auto"/>
          <w:spacing w:val="0"/>
          <w:w w:val="100"/>
          <w:kern w:val="2"/>
          <w:position w:val="0"/>
          <w:sz w:val="32"/>
          <w:szCs w:val="32"/>
          <w:u w:val="none" w:color="auto"/>
          <w:shd w:val="clear" w:color="auto" w:fill="auto"/>
          <w:vertAlign w:val="baseline"/>
          <w:lang w:val="en-US" w:eastAsia="zh-CN" w:bidi="ar-SA"/>
        </w:rPr>
        <w:t xml:space="preserve">  </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本实施</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细则</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所称安置对象，</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是指户籍在被征地集体经济组织</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并获得成员资格的</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，依法享有农村土地承包经营权利，参与被征地集体经济组织分配，在被征地集体经济组织内部享有权利并承担义务，且有合法建房用地手续，符合宅基地审批条件，有合法住宅被征收的家庭常住人口。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县</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人民</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政府</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组织公安、乡（镇）</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人民政府</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村</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社区</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居</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委会等有关</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单位</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对安置</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对象</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资格进行审核</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并</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公示备案。</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zh-CN" w:eastAsia="zh-CN" w:bidi="ar-SA"/>
        </w:rPr>
        <w:t>安置对象确认时间</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t>截止至征地补偿安置方案公告发布之日止</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zh-CN"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eastAsia" w:ascii="仿宋" w:hAnsi="仿宋" w:eastAsia="仿宋" w:cs="仿宋"/>
          <w:b/>
          <w:bCs/>
          <w:snapToGrid/>
          <w:color w:val="auto"/>
          <w:spacing w:val="0"/>
          <w:w w:val="100"/>
          <w:kern w:val="2"/>
          <w:position w:val="0"/>
          <w:sz w:val="32"/>
          <w:szCs w:val="32"/>
          <w:u w:val="none" w:color="auto"/>
          <w:shd w:val="clear" w:color="auto" w:fill="auto"/>
          <w:vertAlign w:val="baseline"/>
          <w:lang w:val="en-US" w:eastAsia="zh-CN" w:bidi="ar-SA"/>
        </w:rPr>
        <w:t>第二十八条</w:t>
      </w:r>
      <w:r>
        <w:rPr>
          <w:rFonts w:hint="default" w:ascii="Times New Roman" w:hAnsi="Times New Roman" w:eastAsia="楷体_GB2312" w:cs="Times New Roman"/>
          <w:b/>
          <w:bCs/>
          <w:snapToGrid/>
          <w:color w:val="auto"/>
          <w:spacing w:val="0"/>
          <w:w w:val="100"/>
          <w:kern w:val="2"/>
          <w:position w:val="0"/>
          <w:sz w:val="32"/>
          <w:szCs w:val="32"/>
          <w:u w:val="none" w:color="auto"/>
          <w:shd w:val="clear" w:color="auto" w:fill="auto"/>
          <w:vertAlign w:val="baseline"/>
          <w:lang w:val="en-US" w:eastAsia="zh-CN" w:bidi="ar-SA"/>
        </w:rPr>
        <w:t xml:space="preserve">  </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征收农村村民合法住宅按</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“一户一宅”的原则</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予以安置。</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被征收户有两处或两处以上合法住宅，一处住宅已经被征收安置补偿的，其他住宅只作补偿不予安置。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非住宅被征收的，按照集体土地上房屋征收补偿标准进行补偿后，不予安置。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Cs/>
          <w:color w:val="auto"/>
          <w:kern w:val="2"/>
          <w:sz w:val="32"/>
          <w:szCs w:val="32"/>
          <w:lang w:val="zh-CN"/>
        </w:rPr>
      </w:pPr>
      <w:r>
        <w:rPr>
          <w:rFonts w:hint="eastAsia" w:ascii="仿宋" w:hAnsi="仿宋" w:eastAsia="仿宋" w:cs="仿宋"/>
          <w:bCs/>
          <w:color w:val="auto"/>
          <w:kern w:val="2"/>
          <w:sz w:val="32"/>
          <w:szCs w:val="32"/>
          <w:lang w:val="zh-CN"/>
        </w:rPr>
        <w:t>征收城镇居民在农村的合法房屋，按照集体土地房屋征收标准进行补偿，不予安置。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经认定为违法建筑的住宅或者非住宅，一律按违法建筑处理，不予安置。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3" w:firstLineChars="200"/>
        <w:jc w:val="both"/>
        <w:textAlignment w:val="auto"/>
        <w:rPr>
          <w:rFonts w:hint="eastAsia" w:ascii="仿宋" w:hAnsi="仿宋" w:eastAsia="仿宋" w:cs="仿宋"/>
          <w:b w:val="0"/>
          <w:bCs w:val="0"/>
          <w:i w:val="0"/>
          <w:iCs w:val="0"/>
          <w:caps w:val="0"/>
          <w:color w:val="auto"/>
          <w:spacing w:val="0"/>
          <w:sz w:val="32"/>
          <w:szCs w:val="32"/>
          <w:u w:val="none"/>
          <w:shd w:val="clear" w:color="auto" w:fill="FFFFFF"/>
          <w:lang w:val="en-US" w:eastAsia="zh-CN"/>
        </w:rPr>
      </w:pPr>
      <w:r>
        <w:rPr>
          <w:rFonts w:hint="eastAsia" w:ascii="仿宋" w:hAnsi="仿宋" w:eastAsia="仿宋" w:cs="仿宋"/>
          <w:b/>
          <w:bCs/>
          <w:snapToGrid/>
          <w:color w:val="auto"/>
          <w:spacing w:val="0"/>
          <w:w w:val="100"/>
          <w:kern w:val="2"/>
          <w:position w:val="0"/>
          <w:sz w:val="32"/>
          <w:szCs w:val="32"/>
          <w:u w:val="none" w:color="auto"/>
          <w:shd w:val="clear" w:color="auto" w:fill="auto"/>
          <w:vertAlign w:val="baseline"/>
          <w:lang w:val="en-US" w:eastAsia="zh-CN" w:bidi="ar-SA"/>
        </w:rPr>
        <w:t xml:space="preserve">第二十九条  </w:t>
      </w:r>
      <w:r>
        <w:rPr>
          <w:rFonts w:hint="eastAsia" w:ascii="仿宋" w:hAnsi="仿宋" w:eastAsia="仿宋" w:cs="仿宋"/>
          <w:b w:val="0"/>
          <w:bCs w:val="0"/>
          <w:i w:val="0"/>
          <w:iCs w:val="0"/>
          <w:caps w:val="0"/>
          <w:color w:val="auto"/>
          <w:spacing w:val="0"/>
          <w:sz w:val="32"/>
          <w:szCs w:val="32"/>
          <w:u w:val="none"/>
          <w:shd w:val="clear" w:color="auto" w:fill="FFFFFF"/>
          <w:lang w:val="en-US" w:eastAsia="zh-CN"/>
        </w:rPr>
        <w:t>安置户的认定原则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 w:hAnsi="仿宋" w:eastAsia="仿宋" w:cs="仿宋"/>
          <w:i w:val="0"/>
          <w:iCs w:val="0"/>
          <w:caps w:val="0"/>
          <w:color w:val="auto"/>
          <w:spacing w:val="0"/>
          <w:sz w:val="32"/>
          <w:szCs w:val="32"/>
          <w:u w:val="none"/>
          <w:shd w:val="clear" w:color="auto" w:fill="FFFFFF"/>
          <w:lang w:val="en-US" w:eastAsia="zh-CN"/>
        </w:rPr>
      </w:pPr>
      <w:r>
        <w:rPr>
          <w:rFonts w:hint="eastAsia" w:ascii="仿宋" w:hAnsi="仿宋" w:eastAsia="仿宋" w:cs="仿宋"/>
          <w:i w:val="0"/>
          <w:iCs w:val="0"/>
          <w:caps w:val="0"/>
          <w:color w:val="auto"/>
          <w:spacing w:val="0"/>
          <w:sz w:val="32"/>
          <w:szCs w:val="32"/>
          <w:u w:val="none"/>
          <w:shd w:val="clear" w:color="auto" w:fill="FFFFFF"/>
          <w:lang w:eastAsia="zh-CN"/>
        </w:rPr>
        <w:t>（</w:t>
      </w:r>
      <w:r>
        <w:rPr>
          <w:rFonts w:hint="eastAsia" w:ascii="仿宋" w:hAnsi="仿宋" w:eastAsia="仿宋" w:cs="仿宋"/>
          <w:i w:val="0"/>
          <w:iCs w:val="0"/>
          <w:caps w:val="0"/>
          <w:color w:val="auto"/>
          <w:spacing w:val="0"/>
          <w:sz w:val="32"/>
          <w:szCs w:val="32"/>
          <w:u w:val="none"/>
          <w:shd w:val="clear" w:color="auto" w:fill="FFFFFF"/>
          <w:lang w:val="en-US" w:eastAsia="zh-CN"/>
        </w:rPr>
        <w:t>1</w:t>
      </w:r>
      <w:r>
        <w:rPr>
          <w:rFonts w:hint="eastAsia" w:ascii="仿宋" w:hAnsi="仿宋" w:eastAsia="仿宋" w:cs="仿宋"/>
          <w:i w:val="0"/>
          <w:iCs w:val="0"/>
          <w:caps w:val="0"/>
          <w:color w:val="auto"/>
          <w:spacing w:val="0"/>
          <w:sz w:val="32"/>
          <w:szCs w:val="32"/>
          <w:u w:val="none"/>
          <w:shd w:val="clear" w:color="auto" w:fill="FFFFFF"/>
          <w:lang w:eastAsia="zh-CN"/>
        </w:rPr>
        <w:t>）</w:t>
      </w:r>
      <w:r>
        <w:rPr>
          <w:rFonts w:hint="eastAsia" w:ascii="仿宋" w:hAnsi="仿宋" w:eastAsia="仿宋" w:cs="仿宋"/>
          <w:i w:val="0"/>
          <w:iCs w:val="0"/>
          <w:caps w:val="0"/>
          <w:color w:val="auto"/>
          <w:spacing w:val="0"/>
          <w:sz w:val="32"/>
          <w:szCs w:val="32"/>
          <w:u w:val="none"/>
          <w:shd w:val="clear" w:color="auto" w:fill="FFFFFF"/>
          <w:lang w:val="en-US" w:eastAsia="zh-CN"/>
        </w:rPr>
        <w:t>无论户籍是否已经分立，均按已结婚家庭认定。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shd w:val="clear" w:color="auto" w:fill="FFFFFF"/>
          <w:lang w:val="en-US" w:eastAsia="zh-CN"/>
        </w:rPr>
      </w:pPr>
      <w:r>
        <w:rPr>
          <w:rFonts w:hint="eastAsia" w:ascii="仿宋" w:hAnsi="仿宋" w:eastAsia="仿宋" w:cs="仿宋"/>
          <w:i w:val="0"/>
          <w:iCs w:val="0"/>
          <w:caps w:val="0"/>
          <w:color w:val="auto"/>
          <w:spacing w:val="0"/>
          <w:sz w:val="32"/>
          <w:szCs w:val="32"/>
          <w:u w:val="none"/>
          <w:shd w:val="clear" w:color="auto" w:fill="FFFFFF"/>
          <w:lang w:val="en-US" w:eastAsia="zh-CN"/>
        </w:rPr>
        <w:t>（2）只有一个子女的家庭，只认定为一个安置户。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u w:val="none"/>
          <w:shd w:val="clear" w:color="auto" w:fill="FFFFFF"/>
          <w:lang w:val="en-US" w:eastAsia="zh-CN"/>
        </w:rPr>
      </w:pPr>
      <w:r>
        <w:rPr>
          <w:rFonts w:hint="eastAsia" w:ascii="仿宋" w:hAnsi="仿宋" w:eastAsia="仿宋" w:cs="仿宋"/>
          <w:i w:val="0"/>
          <w:iCs w:val="0"/>
          <w:caps w:val="0"/>
          <w:color w:val="auto"/>
          <w:spacing w:val="0"/>
          <w:sz w:val="32"/>
          <w:szCs w:val="32"/>
          <w:u w:val="none"/>
          <w:shd w:val="clear" w:color="auto" w:fill="FFFFFF"/>
          <w:lang w:val="en-US" w:eastAsia="zh-CN"/>
        </w:rPr>
        <w:t>（3）有两个及以上子女的家庭，按照已达结婚年龄的子女数量增加认定相应的安置户，但至少应有一个子女与父母同在一个安置户。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eastAsia" w:ascii="仿宋" w:hAnsi="仿宋" w:eastAsia="仿宋" w:cs="仿宋"/>
          <w:i w:val="0"/>
          <w:iCs w:val="0"/>
          <w:caps w:val="0"/>
          <w:color w:val="auto"/>
          <w:spacing w:val="0"/>
          <w:sz w:val="32"/>
          <w:szCs w:val="32"/>
          <w:u w:val="none"/>
          <w:shd w:val="clear" w:color="auto" w:fill="FFFFFF"/>
          <w:lang w:val="en-US" w:eastAsia="zh-CN"/>
        </w:rPr>
        <w:t>（4）离婚分户必须同时具备以下条件，离婚双方才能各按一户享受征收补偿安置；未达到条件的，离婚双方只能对原家庭财产进行分割处理：①</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离婚时间必须在《拟征收土地公告》发布之前；②凭民政部门颁发的离婚证或法院判决生效的离婚判决书（调解书）；③有一方在《拟征收土地公告》发布之前再婚，且再婚一方的配偶户口必须迁入被征地农村集体经济组织并参与该农村集体经济组织权益分配。</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eastAsia" w:ascii="仿宋" w:hAnsi="仿宋" w:eastAsia="仿宋" w:cs="仿宋"/>
          <w:b/>
          <w:bCs/>
          <w:snapToGrid/>
          <w:color w:val="auto"/>
          <w:spacing w:val="0"/>
          <w:w w:val="100"/>
          <w:kern w:val="2"/>
          <w:position w:val="0"/>
          <w:sz w:val="32"/>
          <w:szCs w:val="32"/>
          <w:u w:val="none" w:color="auto"/>
          <w:shd w:val="clear" w:color="auto" w:fill="auto"/>
          <w:vertAlign w:val="baseline"/>
          <w:lang w:val="en-US" w:eastAsia="zh-CN" w:bidi="ar-SA"/>
        </w:rPr>
        <w:t>第三十条</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 xml:space="preserve"> </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 xml:space="preserve"> </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有下列情形之一的，</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被征地农村集体经济组织人员其</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合法住宅被</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征收</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可予以安置</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一</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）入学、入伍前符合</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第</w:t>
      </w:r>
      <w:r>
        <w:rPr>
          <w:rFonts w:hint="eastAsia"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t>二十</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zh-CN" w:eastAsia="zh-CN" w:bidi="ar-SA"/>
        </w:rPr>
        <w:t>七</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条</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规定</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户籍迁出</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的大中专院校在校学生、现役军人（不含享受转业安置待遇的</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人员</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二</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zh-CN" w:eastAsia="zh-CN" w:bidi="ar-SA"/>
        </w:rPr>
        <w:t>服刑前符合第</w:t>
      </w:r>
      <w:r>
        <w:rPr>
          <w:rFonts w:hint="eastAsia"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t>二十</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zh-CN" w:eastAsia="zh-CN" w:bidi="ar-SA"/>
        </w:rPr>
        <w:t>七条规定的正在监狱服刑人员户口迁出的；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（三</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t>在征地补偿安置方案公告发布后10个月内新出生人口。</w:t>
      </w:r>
    </w:p>
    <w:p>
      <w:pPr>
        <w:keepNext w:val="0"/>
        <w:keepLines w:val="0"/>
        <w:pageBreakBefore w:val="0"/>
        <w:widowControl w:val="0"/>
        <w:kinsoku/>
        <w:wordWrap/>
        <w:overflowPunct/>
        <w:topLinePunct w:val="0"/>
        <w:autoSpaceDE/>
        <w:autoSpaceDN/>
        <w:bidi w:val="0"/>
        <w:adjustRightInd/>
        <w:snapToGrid/>
        <w:spacing w:before="0" w:after="0" w:line="560" w:lineRule="exact"/>
        <w:ind w:firstLine="664" w:firstLineChars="200"/>
        <w:textAlignment w:val="auto"/>
        <w:rPr>
          <w:rFonts w:hint="eastAsia"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pPr>
      <w:r>
        <w:rPr>
          <w:rFonts w:hint="eastAsia"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t>（四）</w:t>
      </w:r>
      <w:r>
        <w:rPr>
          <w:rFonts w:hint="default"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t>在征地补偿安置方案公告</w:t>
      </w:r>
      <w:r>
        <w:rPr>
          <w:rFonts w:hint="eastAsia" w:ascii="Times New Roman" w:hAnsi="Times New Roman" w:eastAsia="仿宋_GB2312" w:cs="Times New Roman"/>
          <w:snapToGrid/>
          <w:color w:val="auto"/>
          <w:spacing w:val="6"/>
          <w:w w:val="100"/>
          <w:kern w:val="2"/>
          <w:position w:val="0"/>
          <w:sz w:val="32"/>
          <w:szCs w:val="32"/>
          <w:u w:val="none" w:color="auto"/>
          <w:shd w:val="clear" w:color="auto" w:fill="auto"/>
          <w:vertAlign w:val="baseline"/>
          <w:lang w:val="en-US" w:eastAsia="zh-CN" w:bidi="ar-SA"/>
        </w:rPr>
        <w:t>发布之日前正常婚姻迁入的；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64" w:firstLineChars="200"/>
        <w:textAlignment w:val="auto"/>
        <w:rPr>
          <w:rFonts w:hint="eastAsia" w:ascii="Times New Roman" w:hAnsi="Times New Roman" w:eastAsia="仿宋_GB2312" w:cs="Times New Roman"/>
          <w:b w:val="0"/>
          <w:bCs w:val="0"/>
          <w:snapToGrid/>
          <w:color w:val="auto"/>
          <w:spacing w:val="6"/>
          <w:w w:val="100"/>
          <w:kern w:val="2"/>
          <w:position w:val="0"/>
          <w:sz w:val="32"/>
          <w:szCs w:val="32"/>
          <w:u w:val="none" w:color="auto"/>
          <w:shd w:val="clear" w:color="auto" w:fill="auto"/>
          <w:vertAlign w:val="baseline"/>
          <w:lang w:val="en-US" w:eastAsia="zh-CN" w:bidi="ar-SA"/>
        </w:rPr>
      </w:pPr>
      <w:r>
        <w:rPr>
          <w:rFonts w:hint="eastAsia" w:ascii="Times New Roman" w:hAnsi="Times New Roman" w:eastAsia="仿宋_GB2312" w:cs="Times New Roman"/>
          <w:b w:val="0"/>
          <w:bCs w:val="0"/>
          <w:snapToGrid/>
          <w:color w:val="auto"/>
          <w:spacing w:val="6"/>
          <w:w w:val="100"/>
          <w:kern w:val="2"/>
          <w:position w:val="0"/>
          <w:sz w:val="32"/>
          <w:szCs w:val="32"/>
          <w:u w:val="none" w:color="auto"/>
          <w:shd w:val="clear" w:color="auto" w:fill="auto"/>
          <w:vertAlign w:val="baseline"/>
          <w:lang w:val="en-US" w:eastAsia="zh-CN" w:bidi="ar-SA"/>
        </w:rPr>
        <w:t>（五）与本村（居）人员离婚，户籍关系未迁出的人员及依法判决、调解或协议离婚由其抚养的子女，按一名安置人口计算。</w:t>
      </w:r>
    </w:p>
    <w:p>
      <w:pPr>
        <w:keepNext w:val="0"/>
        <w:keepLines w:val="0"/>
        <w:pageBreakBefore w:val="0"/>
        <w:widowControl w:val="0"/>
        <w:kinsoku/>
        <w:wordWrap/>
        <w:overflowPunct/>
        <w:topLinePunct w:val="0"/>
        <w:autoSpaceDE/>
        <w:autoSpaceDN/>
        <w:bidi w:val="0"/>
        <w:adjustRightInd/>
        <w:snapToGrid/>
        <w:spacing w:before="0" w:after="0" w:line="560" w:lineRule="exact"/>
        <w:ind w:firstLine="664" w:firstLineChars="200"/>
        <w:textAlignment w:val="auto"/>
        <w:rPr>
          <w:rFonts w:hint="default" w:ascii="Times New Roman" w:hAnsi="Times New Roman" w:eastAsia="仿宋_GB2312" w:cs="Times New Roman"/>
          <w:b w:val="0"/>
          <w:bCs w:val="0"/>
          <w:snapToGrid/>
          <w:color w:val="auto"/>
          <w:spacing w:val="6"/>
          <w:w w:val="100"/>
          <w:kern w:val="2"/>
          <w:position w:val="0"/>
          <w:sz w:val="32"/>
          <w:szCs w:val="32"/>
          <w:u w:val="none" w:color="auto"/>
          <w:shd w:val="clear" w:color="auto" w:fill="auto"/>
          <w:vertAlign w:val="baseline"/>
          <w:lang w:val="en-US" w:eastAsia="zh-CN" w:bidi="ar-SA"/>
        </w:rPr>
      </w:pPr>
      <w:r>
        <w:rPr>
          <w:rFonts w:hint="eastAsia" w:ascii="Times New Roman" w:hAnsi="Times New Roman" w:eastAsia="仿宋_GB2312" w:cs="Times New Roman"/>
          <w:b w:val="0"/>
          <w:bCs w:val="0"/>
          <w:snapToGrid/>
          <w:color w:val="auto"/>
          <w:spacing w:val="6"/>
          <w:w w:val="100"/>
          <w:kern w:val="2"/>
          <w:position w:val="0"/>
          <w:sz w:val="32"/>
          <w:szCs w:val="32"/>
          <w:u w:val="none" w:color="auto"/>
          <w:shd w:val="clear" w:color="auto" w:fill="auto"/>
          <w:vertAlign w:val="baseline"/>
          <w:lang w:val="en-US" w:eastAsia="zh-CN" w:bidi="ar-SA"/>
        </w:rPr>
        <w:t>（六）婚嫁地未享受承包土地等权益的因离婚将户籍迁回原本村（居）外嫁女、“入赘”男及依法判决、调解或协议离婚由其抚养的子女，按1户予以安置；多女家庭入赘的按第二十九条第三款执行。</w:t>
      </w:r>
    </w:p>
    <w:p>
      <w:pPr>
        <w:keepNext w:val="0"/>
        <w:keepLines w:val="0"/>
        <w:pageBreakBefore w:val="0"/>
        <w:widowControl w:val="0"/>
        <w:kinsoku/>
        <w:wordWrap/>
        <w:overflowPunct/>
        <w:topLinePunct w:val="0"/>
        <w:autoSpaceDE/>
        <w:autoSpaceDN/>
        <w:bidi w:val="0"/>
        <w:adjustRightInd/>
        <w:snapToGrid/>
        <w:spacing w:before="0" w:after="0" w:line="560" w:lineRule="exact"/>
        <w:ind w:firstLine="664" w:firstLineChars="200"/>
        <w:textAlignment w:val="auto"/>
        <w:rPr>
          <w:rFonts w:hint="default" w:ascii="Times New Roman" w:hAnsi="Times New Roman" w:eastAsia="仿宋_GB2312" w:cs="Times New Roman"/>
          <w:b w:val="0"/>
          <w:bCs w:val="0"/>
          <w:snapToGrid/>
          <w:color w:val="auto"/>
          <w:spacing w:val="6"/>
          <w:w w:val="100"/>
          <w:kern w:val="2"/>
          <w:position w:val="0"/>
          <w:sz w:val="32"/>
          <w:szCs w:val="32"/>
          <w:u w:val="none" w:color="auto"/>
          <w:shd w:val="clear" w:color="auto" w:fill="auto"/>
          <w:vertAlign w:val="baseline"/>
          <w:lang w:val="en-US" w:eastAsia="zh-CN" w:bidi="ar-SA"/>
        </w:rPr>
      </w:pPr>
      <w:r>
        <w:rPr>
          <w:rFonts w:hint="eastAsia" w:ascii="Times New Roman" w:hAnsi="Times New Roman" w:eastAsia="仿宋_GB2312" w:cs="Times New Roman"/>
          <w:b w:val="0"/>
          <w:bCs w:val="0"/>
          <w:snapToGrid/>
          <w:color w:val="auto"/>
          <w:spacing w:val="6"/>
          <w:w w:val="100"/>
          <w:kern w:val="2"/>
          <w:position w:val="0"/>
          <w:sz w:val="32"/>
          <w:szCs w:val="32"/>
          <w:u w:val="none" w:color="auto"/>
          <w:shd w:val="clear" w:color="auto" w:fill="auto"/>
          <w:vertAlign w:val="baseline"/>
          <w:lang w:val="en-US" w:eastAsia="zh-CN" w:bidi="ar-SA"/>
        </w:rPr>
        <w:t>（七）离婚户口迁回，符合下列情况的，按1名安置人口计算：（1）离婚后户口迁入时间在《拟征地公告》发布之前；（2）户口迁入时系《湖南省户口登记管理办法》（湘政办发〔2020〕57号）文件实施前的农业人口；（3）经被征地集体经济组织同意落户且享有农村土地承包经营权，参与该集体组织分配享有权利且承担义务的。</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eastAsia" w:ascii="仿宋" w:hAnsi="仿宋" w:eastAsia="仿宋" w:cs="仿宋"/>
          <w:b/>
          <w:bCs/>
          <w:snapToGrid/>
          <w:color w:val="auto"/>
          <w:spacing w:val="0"/>
          <w:w w:val="100"/>
          <w:kern w:val="2"/>
          <w:position w:val="0"/>
          <w:sz w:val="32"/>
          <w:szCs w:val="32"/>
          <w:u w:val="none" w:color="auto"/>
          <w:shd w:val="clear" w:color="auto" w:fill="auto"/>
          <w:vertAlign w:val="baseline"/>
          <w:lang w:val="en-US" w:eastAsia="zh-CN" w:bidi="ar-SA"/>
        </w:rPr>
        <w:t>第三十一条</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 xml:space="preserve">  原农村集体经济组织成员</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因政策性购买农转非户口的</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、因农用地</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划为蔬菜基地转为非农户口</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或者</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原村改居鼓励转为非农户口，</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且同时</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符合下列情形，其</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合法住宅</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被征收</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可予以安置</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一</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）一直居住在辖区村组，有合法</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住宅</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被征收；</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二</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）有相关生产资料，享受该农村集体经济组织权利和</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履行村民</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义务；</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三</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）国家机关、</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事业单位、国有企业等非在编人员</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eastAsia" w:ascii="仿宋" w:hAnsi="仿宋" w:eastAsia="仿宋" w:cs="仿宋"/>
          <w:b/>
          <w:bCs/>
          <w:snapToGrid/>
          <w:color w:val="auto"/>
          <w:spacing w:val="0"/>
          <w:w w:val="100"/>
          <w:kern w:val="2"/>
          <w:position w:val="0"/>
          <w:sz w:val="32"/>
          <w:szCs w:val="32"/>
          <w:u w:val="none" w:color="auto"/>
          <w:shd w:val="clear" w:color="auto" w:fill="auto"/>
          <w:vertAlign w:val="baseline"/>
          <w:lang w:val="en-US" w:eastAsia="zh-CN" w:bidi="ar-SA"/>
        </w:rPr>
        <w:t>第三十二条</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 xml:space="preserve">  </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有下列情形之一的，不予安置：</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一</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）未依法承包被征地农村集体经济组织土地、不享受被征地农村集体经济组织成员权利和未</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履行村民</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义务的人员(含寄住、寄养、</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空挂户</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等人员);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二</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）通过继承、赠送、</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购买</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等途径在</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被</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征收土地范围内取得</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住宅</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所有权，但户籍不在被征地农村集体经济组织、未依法承包被征地农村集体经济组织土地、不享受被征地农村集体经济组织成员权利和未</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履行村民</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义务的人员;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（三）</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在历次征收中已安置的人员；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（四）户籍在被征地农村集体经济组织的</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国家机关、</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事业单位、国有企业等在编国家公职人员及前述单位的离退休工作人员；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（五）经主管部门认定为违法违规迁入户籍的人员；</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六</w:t>
      </w: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w:t>
      </w:r>
      <w:r>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zh-CN" w:eastAsia="zh-CN" w:bidi="ar-SA"/>
        </w:rPr>
        <w:t>按照相关法律法规和政策不应纳入安置的其他人员。</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center"/>
        <w:textAlignment w:val="auto"/>
        <w:rPr>
          <w:rFonts w:hint="eastAsia" w:ascii="Times New Roman" w:hAnsi="Times New Roman" w:eastAsia="黑体" w:cs="Times New Roman"/>
          <w:color w:val="auto"/>
          <w:spacing w:val="0"/>
          <w:sz w:val="32"/>
          <w:szCs w:val="32"/>
          <w:lang w:val="en-US" w:eastAsia="zh-CN"/>
        </w:rPr>
      </w:pPr>
      <w:r>
        <w:rPr>
          <w:rFonts w:hint="default" w:ascii="Times New Roman" w:hAnsi="Times New Roman" w:eastAsia="黑体" w:cs="Times New Roman"/>
          <w:color w:val="auto"/>
          <w:spacing w:val="0"/>
          <w:sz w:val="32"/>
          <w:szCs w:val="32"/>
        </w:rPr>
        <w:t>第</w:t>
      </w:r>
      <w:r>
        <w:rPr>
          <w:rFonts w:hint="eastAsia" w:ascii="Times New Roman" w:hAnsi="Times New Roman" w:eastAsia="黑体" w:cs="Times New Roman"/>
          <w:color w:val="auto"/>
          <w:spacing w:val="0"/>
          <w:sz w:val="32"/>
          <w:szCs w:val="32"/>
          <w:lang w:val="en-US" w:eastAsia="zh-CN"/>
        </w:rPr>
        <w:t>五</w:t>
      </w:r>
      <w:r>
        <w:rPr>
          <w:rFonts w:hint="default" w:ascii="Times New Roman" w:hAnsi="Times New Roman" w:eastAsia="黑体" w:cs="Times New Roman"/>
          <w:color w:val="auto"/>
          <w:spacing w:val="0"/>
          <w:sz w:val="32"/>
          <w:szCs w:val="32"/>
        </w:rPr>
        <w:t>章  房屋征收安置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仿宋" w:hAnsi="仿宋" w:eastAsia="仿宋" w:cs="仿宋"/>
          <w:b/>
          <w:bCs/>
          <w:snapToGrid/>
          <w:color w:val="auto"/>
          <w:spacing w:val="0"/>
          <w:w w:val="100"/>
          <w:position w:val="0"/>
          <w:sz w:val="32"/>
          <w:szCs w:val="32"/>
          <w:u w:val="none"/>
          <w:shd w:val="clear"/>
          <w:vertAlign w:val="baseline"/>
          <w:lang w:val="en-US" w:eastAsia="zh-CN"/>
        </w:rPr>
        <w:t>第三十三条</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征收</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城市规划区</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范围内农村村民住宅，按先补偿后搬迁、居住条件有改善的原则，采取</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货币安置</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为主，城市规划区外集中安置、统规自建。被征收人以合法登记的产权户为单位，任选且只能选择以下一种方式进行安置。</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w w:val="100"/>
          <w:position w:val="0"/>
          <w:sz w:val="32"/>
          <w:szCs w:val="32"/>
          <w:u w:val="none"/>
          <w:shd w:val="clear" w:color="auto" w:fill="auto"/>
          <w:vertAlign w:val="baseline"/>
          <w:lang w:val="en-US" w:eastAsia="zh-CN"/>
        </w:rPr>
      </w:pP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（一）被征收人</w:t>
      </w:r>
      <w:r>
        <w:rPr>
          <w:rFonts w:hint="eastAsia" w:ascii="仿宋" w:hAnsi="仿宋" w:eastAsia="仿宋" w:cs="仿宋"/>
          <w:color w:val="auto"/>
          <w:sz w:val="32"/>
          <w:szCs w:val="32"/>
          <w:u w:val="none"/>
          <w:lang w:val="en-US" w:eastAsia="zh-CN"/>
        </w:rPr>
        <w:t>选择房地合一方式评估房屋价值的货币安置方式。被征收房屋的价值由具有相应资质的评估机构参照国有土地上房屋评估确定，扣除与证载土地面积征地补偿费相等的价值后，由被征收人全额领取，不再进行其他安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pPr>
      <w:r>
        <w:rPr>
          <w:rFonts w:hint="eastAsia" w:ascii="Times New Roman" w:hAnsi="Times New Roman" w:eastAsia="仿宋_GB2312" w:cs="Times New Roman"/>
          <w:snapToGrid/>
          <w:color w:val="auto"/>
          <w:spacing w:val="0"/>
          <w:w w:val="100"/>
          <w:kern w:val="2"/>
          <w:position w:val="0"/>
          <w:sz w:val="32"/>
          <w:szCs w:val="32"/>
          <w:u w:val="none" w:color="auto"/>
          <w:shd w:val="clear" w:color="auto" w:fill="auto"/>
          <w:vertAlign w:val="baseline"/>
          <w:lang w:val="en-US" w:eastAsia="zh-CN" w:bidi="ar-SA"/>
        </w:rPr>
        <w:t>（二）一次性领取安置费的货币安置方式。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eastAsia" w:ascii="仿宋" w:hAnsi="仿宋" w:eastAsia="仿宋" w:cs="仿宋"/>
          <w:b w:val="0"/>
          <w:bCs w:val="0"/>
          <w:color w:val="auto"/>
          <w:spacing w:val="0"/>
          <w:sz w:val="32"/>
          <w:szCs w:val="32"/>
          <w:u w:val="none"/>
          <w:lang w:val="en-US" w:eastAsia="zh-CN"/>
        </w:rPr>
      </w:pPr>
      <w:r>
        <w:rPr>
          <w:rFonts w:hint="eastAsia" w:ascii="Times New Roman" w:hAnsi="Times New Roman" w:eastAsia="仿宋_GB2312" w:cs="Times New Roman"/>
          <w:snapToGrid/>
          <w:color w:val="auto"/>
          <w:spacing w:val="0"/>
          <w:w w:val="100"/>
          <w:position w:val="0"/>
          <w:sz w:val="32"/>
          <w:szCs w:val="32"/>
          <w:u w:val="none"/>
          <w:shd w:val="clear" w:color="auto" w:fill="auto"/>
          <w:vertAlign w:val="baseline"/>
          <w:lang w:val="en-US" w:eastAsia="zh-CN"/>
        </w:rPr>
        <w:t>1.</w:t>
      </w:r>
      <w:r>
        <w:rPr>
          <w:rFonts w:hint="eastAsia" w:ascii="仿宋" w:hAnsi="仿宋" w:eastAsia="仿宋" w:cs="仿宋"/>
          <w:b w:val="0"/>
          <w:bCs w:val="0"/>
          <w:color w:val="auto"/>
          <w:spacing w:val="0"/>
          <w:sz w:val="32"/>
          <w:szCs w:val="32"/>
          <w:u w:val="none"/>
          <w:lang w:val="en-US" w:eastAsia="zh-CN"/>
        </w:rPr>
        <w:t>安置费以每宗宅基地130平方米为基数，按52</w:t>
      </w:r>
      <w:r>
        <w:rPr>
          <w:rFonts w:hint="default" w:ascii="仿宋" w:hAnsi="仿宋" w:eastAsia="仿宋" w:cs="仿宋"/>
          <w:b w:val="0"/>
          <w:bCs w:val="0"/>
          <w:color w:val="auto"/>
          <w:spacing w:val="0"/>
          <w:sz w:val="32"/>
          <w:szCs w:val="32"/>
          <w:u w:val="none"/>
          <w:lang w:val="en-US" w:eastAsia="zh-CN"/>
        </w:rPr>
        <w:t>万元</w:t>
      </w:r>
      <w:r>
        <w:rPr>
          <w:rFonts w:hint="eastAsia" w:ascii="仿宋" w:hAnsi="仿宋" w:eastAsia="仿宋" w:cs="仿宋"/>
          <w:b w:val="0"/>
          <w:bCs w:val="0"/>
          <w:color w:val="auto"/>
          <w:spacing w:val="0"/>
          <w:sz w:val="32"/>
          <w:szCs w:val="32"/>
          <w:u w:val="none"/>
          <w:lang w:val="en-US" w:eastAsia="zh-CN"/>
        </w:rPr>
        <w:t>/户的</w:t>
      </w:r>
      <w:r>
        <w:rPr>
          <w:rFonts w:hint="default" w:ascii="仿宋" w:hAnsi="仿宋" w:eastAsia="仿宋" w:cs="仿宋"/>
          <w:b w:val="0"/>
          <w:bCs w:val="0"/>
          <w:color w:val="auto"/>
          <w:spacing w:val="0"/>
          <w:sz w:val="32"/>
          <w:szCs w:val="32"/>
          <w:u w:val="none"/>
          <w:lang w:val="en-US" w:eastAsia="zh-CN"/>
        </w:rPr>
        <w:t>标准</w:t>
      </w:r>
      <w:r>
        <w:rPr>
          <w:rFonts w:hint="eastAsia" w:ascii="仿宋" w:hAnsi="仿宋" w:eastAsia="仿宋" w:cs="仿宋"/>
          <w:b w:val="0"/>
          <w:bCs w:val="0"/>
          <w:color w:val="auto"/>
          <w:spacing w:val="0"/>
          <w:sz w:val="32"/>
          <w:szCs w:val="32"/>
          <w:u w:val="none"/>
          <w:lang w:val="en-US" w:eastAsia="zh-CN"/>
        </w:rPr>
        <w:t>发放一次性安置费。宅基地证内面积大于130平方米的，超出面积按新晃集体建设用地标准2倍补偿，低于130平方米的面积，按新晃集体建设用地标准2倍核减。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eastAsia" w:ascii="仿宋" w:hAnsi="仿宋" w:eastAsia="仿宋" w:cs="仿宋"/>
          <w:b w:val="0"/>
          <w:bCs w:val="0"/>
          <w:color w:val="auto"/>
          <w:spacing w:val="0"/>
          <w:sz w:val="32"/>
          <w:szCs w:val="32"/>
          <w:u w:val="none"/>
        </w:rPr>
      </w:pPr>
      <w:r>
        <w:rPr>
          <w:rFonts w:hint="eastAsia" w:ascii="Times New Roman" w:hAnsi="Times New Roman" w:eastAsia="仿宋_GB2312" w:cs="Times New Roman"/>
          <w:snapToGrid/>
          <w:color w:val="auto"/>
          <w:spacing w:val="0"/>
          <w:w w:val="100"/>
          <w:position w:val="0"/>
          <w:sz w:val="32"/>
          <w:szCs w:val="32"/>
          <w:u w:val="none"/>
          <w:shd w:val="clear" w:color="auto" w:fill="auto"/>
          <w:vertAlign w:val="baseline"/>
          <w:lang w:val="en-US" w:eastAsia="zh-CN"/>
        </w:rPr>
        <w:t>2.</w:t>
      </w:r>
      <w:r>
        <w:rPr>
          <w:rFonts w:hint="eastAsia" w:ascii="仿宋" w:hAnsi="仿宋" w:eastAsia="仿宋" w:cs="仿宋"/>
          <w:b w:val="0"/>
          <w:bCs w:val="0"/>
          <w:color w:val="auto"/>
          <w:spacing w:val="0"/>
          <w:sz w:val="32"/>
          <w:szCs w:val="32"/>
          <w:u w:val="none"/>
          <w:lang w:val="en-US" w:eastAsia="zh-CN"/>
        </w:rPr>
        <w:t>单宗宅基</w:t>
      </w:r>
      <w:r>
        <w:rPr>
          <w:rFonts w:hint="default" w:ascii="仿宋" w:hAnsi="仿宋" w:eastAsia="仿宋" w:cs="仿宋"/>
          <w:b w:val="0"/>
          <w:bCs w:val="0"/>
          <w:color w:val="auto"/>
          <w:spacing w:val="0"/>
          <w:sz w:val="32"/>
          <w:szCs w:val="32"/>
          <w:u w:val="none"/>
          <w:lang w:val="en-US" w:eastAsia="zh-CN"/>
        </w:rPr>
        <w:t>地</w:t>
      </w:r>
      <w:r>
        <w:rPr>
          <w:rFonts w:hint="eastAsia" w:ascii="仿宋" w:hAnsi="仿宋" w:eastAsia="仿宋" w:cs="仿宋"/>
          <w:b w:val="0"/>
          <w:bCs w:val="0"/>
          <w:color w:val="auto"/>
          <w:spacing w:val="0"/>
          <w:sz w:val="32"/>
          <w:szCs w:val="32"/>
          <w:u w:val="none"/>
          <w:lang w:val="en-US" w:eastAsia="zh-CN"/>
        </w:rPr>
        <w:t>超过130平方米（含130平方米）且常住人口有已达婚育年龄多个子女的家庭（必须有一子或一女伴靠父母），</w:t>
      </w:r>
      <w:r>
        <w:rPr>
          <w:rFonts w:hint="default" w:ascii="仿宋" w:hAnsi="仿宋" w:eastAsia="仿宋" w:cs="仿宋"/>
          <w:b w:val="0"/>
          <w:bCs w:val="0"/>
          <w:color w:val="auto"/>
          <w:spacing w:val="0"/>
          <w:sz w:val="32"/>
          <w:szCs w:val="32"/>
          <w:u w:val="none"/>
          <w:lang w:val="en-US" w:eastAsia="zh-CN"/>
        </w:rPr>
        <w:t>每增加一户，另增</w:t>
      </w:r>
      <w:r>
        <w:rPr>
          <w:rFonts w:hint="eastAsia" w:ascii="仿宋" w:hAnsi="仿宋" w:eastAsia="仿宋" w:cs="仿宋"/>
          <w:b w:val="0"/>
          <w:bCs w:val="0"/>
          <w:color w:val="auto"/>
          <w:spacing w:val="0"/>
          <w:sz w:val="32"/>
          <w:szCs w:val="32"/>
          <w:u w:val="none"/>
          <w:lang w:val="en-US" w:eastAsia="zh-CN"/>
        </w:rPr>
        <w:t>加发放安置费20</w:t>
      </w:r>
      <w:r>
        <w:rPr>
          <w:rFonts w:hint="default" w:ascii="仿宋" w:hAnsi="仿宋" w:eastAsia="仿宋" w:cs="仿宋"/>
          <w:b w:val="0"/>
          <w:bCs w:val="0"/>
          <w:color w:val="auto"/>
          <w:spacing w:val="0"/>
          <w:sz w:val="32"/>
          <w:szCs w:val="32"/>
          <w:u w:val="none"/>
          <w:lang w:val="en-US" w:eastAsia="zh-CN"/>
        </w:rPr>
        <w:t>万</w:t>
      </w:r>
      <w:r>
        <w:rPr>
          <w:rFonts w:hint="eastAsia" w:ascii="仿宋" w:hAnsi="仿宋" w:eastAsia="仿宋" w:cs="仿宋"/>
          <w:b w:val="0"/>
          <w:bCs w:val="0"/>
          <w:color w:val="auto"/>
          <w:spacing w:val="0"/>
          <w:sz w:val="32"/>
          <w:szCs w:val="32"/>
          <w:u w:val="none"/>
          <w:lang w:val="en-US" w:eastAsia="zh-CN"/>
        </w:rPr>
        <w:t>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color w:val="auto"/>
          <w:sz w:val="32"/>
          <w:szCs w:val="32"/>
          <w:u w:val="none"/>
          <w:lang w:val="en-US" w:eastAsia="zh-CN"/>
        </w:rPr>
        <w:t>3.</w:t>
      </w:r>
      <w:r>
        <w:rPr>
          <w:rFonts w:hint="eastAsia" w:ascii="仿宋" w:hAnsi="仿宋" w:eastAsia="仿宋" w:cs="仿宋"/>
          <w:b w:val="0"/>
          <w:bCs w:val="0"/>
          <w:color w:val="auto"/>
          <w:spacing w:val="0"/>
          <w:sz w:val="32"/>
          <w:szCs w:val="32"/>
          <w:u w:val="none"/>
          <w:lang w:val="en-US" w:eastAsia="zh-CN"/>
        </w:rPr>
        <w:t>单宗宅基</w:t>
      </w:r>
      <w:r>
        <w:rPr>
          <w:rFonts w:hint="default" w:ascii="仿宋" w:hAnsi="仿宋" w:eastAsia="仿宋" w:cs="仿宋"/>
          <w:b w:val="0"/>
          <w:bCs w:val="0"/>
          <w:color w:val="auto"/>
          <w:spacing w:val="0"/>
          <w:sz w:val="32"/>
          <w:szCs w:val="32"/>
          <w:u w:val="none"/>
          <w:lang w:val="en-US" w:eastAsia="zh-CN"/>
        </w:rPr>
        <w:t>地</w:t>
      </w:r>
      <w:r>
        <w:rPr>
          <w:rFonts w:hint="eastAsia" w:ascii="仿宋" w:hAnsi="仿宋" w:eastAsia="仿宋" w:cs="仿宋"/>
          <w:b w:val="0"/>
          <w:bCs w:val="0"/>
          <w:color w:val="auto"/>
          <w:spacing w:val="0"/>
          <w:sz w:val="32"/>
          <w:szCs w:val="32"/>
          <w:u w:val="none"/>
          <w:lang w:val="en-US" w:eastAsia="zh-CN"/>
        </w:rPr>
        <w:t>证内面积超出180平方米，且只享受52万元安置费，超出部分按新晃集体建设用地标准4倍补偿。</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4.单宗宅基</w:t>
      </w:r>
      <w:r>
        <w:rPr>
          <w:rFonts w:hint="default" w:ascii="仿宋" w:hAnsi="仿宋" w:eastAsia="仿宋" w:cs="仿宋"/>
          <w:b w:val="0"/>
          <w:bCs w:val="0"/>
          <w:color w:val="auto"/>
          <w:spacing w:val="0"/>
          <w:sz w:val="32"/>
          <w:szCs w:val="32"/>
          <w:u w:val="none"/>
          <w:lang w:val="en-US" w:eastAsia="zh-CN"/>
        </w:rPr>
        <w:t>地</w:t>
      </w:r>
      <w:r>
        <w:rPr>
          <w:rFonts w:hint="eastAsia" w:ascii="仿宋" w:hAnsi="仿宋" w:eastAsia="仿宋" w:cs="仿宋"/>
          <w:b w:val="0"/>
          <w:bCs w:val="0"/>
          <w:color w:val="auto"/>
          <w:spacing w:val="0"/>
          <w:sz w:val="32"/>
          <w:szCs w:val="32"/>
          <w:u w:val="none"/>
          <w:lang w:val="en-US" w:eastAsia="zh-CN"/>
        </w:rPr>
        <w:t>证内面积低于65平方米，按26万元发放一次性安置费，不足65平方米的部分按新晃集体建设用地标准予以核减。</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5.同一安置户</w:t>
      </w:r>
      <w:r>
        <w:rPr>
          <w:rFonts w:hint="default" w:ascii="仿宋" w:hAnsi="仿宋" w:eastAsia="仿宋" w:cs="仿宋"/>
          <w:color w:val="auto"/>
          <w:sz w:val="32"/>
          <w:szCs w:val="32"/>
          <w:u w:val="none"/>
          <w:lang w:val="en-US" w:eastAsia="zh-CN"/>
        </w:rPr>
        <w:t>有</w:t>
      </w:r>
      <w:r>
        <w:rPr>
          <w:rFonts w:hint="eastAsia" w:ascii="仿宋" w:hAnsi="仿宋" w:eastAsia="仿宋" w:cs="仿宋"/>
          <w:color w:val="auto"/>
          <w:sz w:val="32"/>
          <w:szCs w:val="32"/>
          <w:u w:val="none"/>
          <w:lang w:val="en-US" w:eastAsia="zh-CN"/>
        </w:rPr>
        <w:t>两栋</w:t>
      </w:r>
      <w:r>
        <w:rPr>
          <w:rFonts w:hint="default" w:ascii="仿宋" w:hAnsi="仿宋" w:eastAsia="仿宋" w:cs="仿宋"/>
          <w:color w:val="auto"/>
          <w:sz w:val="32"/>
          <w:szCs w:val="32"/>
          <w:u w:val="none"/>
          <w:lang w:val="en-US" w:eastAsia="zh-CN"/>
        </w:rPr>
        <w:t>以上</w:t>
      </w:r>
      <w:r>
        <w:rPr>
          <w:rFonts w:hint="eastAsia" w:ascii="仿宋" w:hAnsi="仿宋" w:eastAsia="仿宋" w:cs="仿宋"/>
          <w:color w:val="auto"/>
          <w:sz w:val="32"/>
          <w:szCs w:val="32"/>
          <w:u w:val="none"/>
          <w:lang w:val="en-US" w:eastAsia="zh-CN"/>
        </w:rPr>
        <w:t>房屋及宅基地被同时征收</w:t>
      </w:r>
      <w:r>
        <w:rPr>
          <w:rFonts w:hint="default" w:ascii="仿宋" w:hAnsi="仿宋" w:eastAsia="仿宋" w:cs="仿宋"/>
          <w:color w:val="auto"/>
          <w:sz w:val="32"/>
          <w:szCs w:val="32"/>
          <w:u w:val="none"/>
          <w:lang w:val="en-US" w:eastAsia="zh-CN"/>
        </w:rPr>
        <w:t>的，</w:t>
      </w:r>
      <w:r>
        <w:rPr>
          <w:rFonts w:hint="eastAsia" w:ascii="仿宋" w:hAnsi="仿宋" w:eastAsia="仿宋" w:cs="仿宋"/>
          <w:color w:val="auto"/>
          <w:sz w:val="32"/>
          <w:szCs w:val="32"/>
          <w:u w:val="none"/>
          <w:lang w:val="en-US" w:eastAsia="zh-CN"/>
        </w:rPr>
        <w:t>合并方式计算面积，仍按一个户</w:t>
      </w:r>
      <w:r>
        <w:rPr>
          <w:rFonts w:hint="default" w:ascii="仿宋" w:hAnsi="仿宋" w:eastAsia="仿宋" w:cs="仿宋"/>
          <w:color w:val="auto"/>
          <w:sz w:val="32"/>
          <w:szCs w:val="32"/>
          <w:u w:val="none"/>
          <w:lang w:val="en-US" w:eastAsia="zh-CN"/>
        </w:rPr>
        <w:t>进行</w:t>
      </w:r>
      <w:r>
        <w:rPr>
          <w:rFonts w:hint="eastAsia" w:ascii="仿宋" w:hAnsi="仿宋" w:eastAsia="仿宋" w:cs="仿宋"/>
          <w:color w:val="auto"/>
          <w:sz w:val="32"/>
          <w:szCs w:val="32"/>
          <w:u w:val="none"/>
          <w:lang w:val="en-US" w:eastAsia="zh-CN"/>
        </w:rPr>
        <w:t>安置。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6.符合安置条件在签订补偿安置协议一年内购房的凭购房合同另按1000元/㎡的标准领取基本装饰装修费补助和</w:t>
      </w:r>
      <w:r>
        <w:rPr>
          <w:rFonts w:hint="default" w:ascii="仿宋" w:hAnsi="仿宋" w:eastAsia="仿宋" w:cs="仿宋"/>
          <w:color w:val="auto"/>
          <w:sz w:val="32"/>
          <w:szCs w:val="32"/>
          <w:u w:val="none"/>
          <w:lang w:val="en-US" w:eastAsia="zh-CN"/>
        </w:rPr>
        <w:t>100元/</w:t>
      </w:r>
      <w:r>
        <w:rPr>
          <w:rFonts w:hint="eastAsia" w:ascii="仿宋" w:hAnsi="仿宋" w:eastAsia="仿宋" w:cs="仿宋"/>
          <w:color w:val="auto"/>
          <w:sz w:val="32"/>
          <w:szCs w:val="32"/>
          <w:u w:val="none"/>
          <w:lang w:val="en-US" w:eastAsia="zh-CN"/>
        </w:rPr>
        <w:t>㎡</w:t>
      </w:r>
      <w:r>
        <w:rPr>
          <w:rFonts w:hint="default" w:ascii="仿宋" w:hAnsi="仿宋" w:eastAsia="仿宋" w:cs="仿宋"/>
          <w:color w:val="auto"/>
          <w:sz w:val="32"/>
          <w:szCs w:val="32"/>
          <w:u w:val="none"/>
          <w:lang w:val="en-US" w:eastAsia="zh-CN"/>
        </w:rPr>
        <w:t>的物业管理费补</w:t>
      </w:r>
      <w:r>
        <w:rPr>
          <w:rFonts w:hint="eastAsia" w:ascii="仿宋" w:hAnsi="仿宋" w:eastAsia="仿宋" w:cs="仿宋"/>
          <w:color w:val="auto"/>
          <w:sz w:val="32"/>
          <w:szCs w:val="32"/>
          <w:u w:val="none"/>
          <w:lang w:val="en-US" w:eastAsia="zh-CN"/>
        </w:rPr>
        <w:t>助,最高补助不超人均40平方米；有《独生子女父母光荣证》的家庭，可增加1人进行计算。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（三）城市规划区外集中联建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1.安置户按照统一规划、统一标准、统一管理、自行建设的原则（鼓励多户联建、委托代建）进行集中安置，在集中安置区内，每宗安置地面积不超过120平方米。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2.一个安置户的多栋房屋及宅基地被征收的，只分配一宗安置地；同一栋房屋有两个以上的安置户，且无其他宅基地的，每户可分配一宗安置地。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3.原宅基地与安置地差价结算。原宅基地面积与安置地面积相等的，不计算差价；原宅基地面积与安置地面积不相等的，按征收宅基地补偿标准计算差价。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default"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4.</w:t>
      </w:r>
      <w:r>
        <w:rPr>
          <w:rFonts w:hint="eastAsia" w:ascii="仿宋" w:hAnsi="仿宋" w:eastAsia="仿宋" w:cs="仿宋"/>
          <w:b w:val="0"/>
          <w:bCs w:val="0"/>
          <w:color w:val="auto"/>
          <w:spacing w:val="0"/>
          <w:sz w:val="32"/>
          <w:szCs w:val="32"/>
          <w:u w:val="none"/>
          <w:lang w:val="en" w:eastAsia="zh-CN"/>
        </w:rPr>
        <w:t>安置房建设的用地</w:t>
      </w:r>
      <w:r>
        <w:rPr>
          <w:rFonts w:hint="eastAsia" w:ascii="仿宋" w:hAnsi="仿宋" w:eastAsia="仿宋" w:cs="仿宋"/>
          <w:b w:val="0"/>
          <w:bCs w:val="0"/>
          <w:color w:val="auto"/>
          <w:spacing w:val="0"/>
          <w:sz w:val="32"/>
          <w:szCs w:val="32"/>
          <w:u w:val="none"/>
          <w:lang w:val="en-US" w:eastAsia="zh-CN"/>
        </w:rPr>
        <w:t>审批、</w:t>
      </w:r>
      <w:r>
        <w:rPr>
          <w:rFonts w:hint="eastAsia" w:ascii="仿宋" w:hAnsi="仿宋" w:eastAsia="仿宋" w:cs="仿宋"/>
          <w:b w:val="0"/>
          <w:bCs w:val="0"/>
          <w:color w:val="auto"/>
          <w:spacing w:val="0"/>
          <w:sz w:val="32"/>
          <w:szCs w:val="32"/>
          <w:u w:val="none"/>
          <w:lang w:val="en" w:eastAsia="zh-CN"/>
        </w:rPr>
        <w:t>规划审批、</w:t>
      </w:r>
      <w:r>
        <w:rPr>
          <w:rFonts w:hint="eastAsia" w:ascii="仿宋" w:hAnsi="仿宋" w:eastAsia="仿宋" w:cs="仿宋"/>
          <w:b w:val="0"/>
          <w:bCs w:val="0"/>
          <w:color w:val="auto"/>
          <w:spacing w:val="0"/>
          <w:sz w:val="32"/>
          <w:szCs w:val="32"/>
          <w:u w:val="none"/>
          <w:lang w:val="en-US" w:eastAsia="zh-CN"/>
        </w:rPr>
        <w:t>施工审批</w:t>
      </w:r>
      <w:r>
        <w:rPr>
          <w:rFonts w:hint="eastAsia" w:ascii="仿宋" w:hAnsi="仿宋" w:eastAsia="仿宋" w:cs="仿宋"/>
          <w:b w:val="0"/>
          <w:bCs w:val="0"/>
          <w:color w:val="auto"/>
          <w:spacing w:val="0"/>
          <w:sz w:val="32"/>
          <w:szCs w:val="32"/>
          <w:u w:val="none"/>
          <w:lang w:val="en" w:eastAsia="zh-CN"/>
        </w:rPr>
        <w:t>、</w:t>
      </w:r>
      <w:r>
        <w:rPr>
          <w:rFonts w:hint="eastAsia" w:ascii="仿宋" w:hAnsi="仿宋" w:eastAsia="仿宋" w:cs="仿宋"/>
          <w:b w:val="0"/>
          <w:bCs w:val="0"/>
          <w:color w:val="auto"/>
          <w:spacing w:val="0"/>
          <w:sz w:val="32"/>
          <w:szCs w:val="32"/>
          <w:u w:val="none"/>
          <w:lang w:val="en-US" w:eastAsia="zh-CN"/>
        </w:rPr>
        <w:t>房屋产权证</w:t>
      </w:r>
      <w:r>
        <w:rPr>
          <w:rFonts w:hint="eastAsia" w:ascii="仿宋" w:hAnsi="仿宋" w:eastAsia="仿宋" w:cs="仿宋"/>
          <w:b w:val="0"/>
          <w:bCs w:val="0"/>
          <w:color w:val="auto"/>
          <w:spacing w:val="0"/>
          <w:sz w:val="32"/>
          <w:szCs w:val="32"/>
          <w:u w:val="none"/>
          <w:lang w:val="en" w:eastAsia="zh-CN"/>
        </w:rPr>
        <w:t>等的</w:t>
      </w:r>
      <w:r>
        <w:rPr>
          <w:rFonts w:hint="eastAsia" w:ascii="仿宋" w:hAnsi="仿宋" w:eastAsia="仿宋" w:cs="仿宋"/>
          <w:b w:val="0"/>
          <w:bCs w:val="0"/>
          <w:color w:val="auto"/>
          <w:spacing w:val="0"/>
          <w:sz w:val="32"/>
          <w:szCs w:val="32"/>
          <w:u w:val="none"/>
          <w:lang w:val="en-US" w:eastAsia="zh-CN"/>
        </w:rPr>
        <w:t>办理由征收项目业主单位负责；安置户在限定的时间建房产生的相关</w:t>
      </w:r>
      <w:r>
        <w:rPr>
          <w:rFonts w:hint="eastAsia" w:ascii="仿宋" w:hAnsi="仿宋" w:eastAsia="仿宋" w:cs="仿宋"/>
          <w:b w:val="0"/>
          <w:bCs w:val="0"/>
          <w:color w:val="auto"/>
          <w:spacing w:val="0"/>
          <w:sz w:val="32"/>
          <w:szCs w:val="32"/>
          <w:u w:val="none"/>
          <w:lang w:val="en" w:eastAsia="zh-CN"/>
        </w:rPr>
        <w:t>税费及房屋基础超深部分（即基础超过</w:t>
      </w:r>
      <w:r>
        <w:rPr>
          <w:rFonts w:hint="eastAsia" w:ascii="仿宋" w:hAnsi="仿宋" w:eastAsia="仿宋" w:cs="仿宋"/>
          <w:b w:val="0"/>
          <w:bCs w:val="0"/>
          <w:color w:val="auto"/>
          <w:spacing w:val="0"/>
          <w:sz w:val="32"/>
          <w:szCs w:val="32"/>
          <w:u w:val="none"/>
          <w:lang w:val="en-US" w:eastAsia="zh-CN"/>
        </w:rPr>
        <w:t>1.5米）的费用由征收项目业主单位承担。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 xml:space="preserve">5.安置房建设统一标高、统一楼层、统一格调、统一外墙颜色等，对不按要求建设的，县直相关部门有权责令其停工、返工，造成的损失自行承担。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Autospacing="0" w:line="560" w:lineRule="exact"/>
        <w:ind w:right="0" w:firstLine="640" w:firstLineChars="200"/>
        <w:textAlignment w:val="auto"/>
        <w:outlineLvl w:val="9"/>
        <w:rPr>
          <w:rFonts w:hint="default"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6.在安置区取得安置地建房的安置户，从安置地交付之日起，二年内未建成或者</w:t>
      </w:r>
      <w:r>
        <w:rPr>
          <w:rFonts w:hint="eastAsia" w:ascii="仿宋" w:hAnsi="仿宋" w:eastAsia="仿宋" w:cs="仿宋"/>
          <w:b w:val="0"/>
          <w:bCs w:val="0"/>
          <w:color w:val="auto"/>
          <w:spacing w:val="0"/>
          <w:sz w:val="32"/>
          <w:szCs w:val="32"/>
          <w:u w:val="none"/>
          <w:lang w:val="en" w:eastAsia="zh-CN"/>
        </w:rPr>
        <w:t>不按规划修建的</w:t>
      </w:r>
      <w:r>
        <w:rPr>
          <w:rFonts w:hint="eastAsia" w:ascii="仿宋" w:hAnsi="仿宋" w:eastAsia="仿宋" w:cs="仿宋"/>
          <w:b w:val="0"/>
          <w:bCs w:val="0"/>
          <w:color w:val="auto"/>
          <w:spacing w:val="0"/>
          <w:sz w:val="32"/>
          <w:szCs w:val="32"/>
          <w:u w:val="none"/>
          <w:lang w:val="en-US" w:eastAsia="zh-CN"/>
        </w:rPr>
        <w:t>，取消执行规划奖。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firstLine="643"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仿宋" w:hAnsi="仿宋" w:eastAsia="仿宋" w:cs="仿宋"/>
          <w:b/>
          <w:bCs/>
          <w:snapToGrid/>
          <w:color w:val="auto"/>
          <w:spacing w:val="0"/>
          <w:w w:val="100"/>
          <w:position w:val="0"/>
          <w:sz w:val="32"/>
          <w:szCs w:val="32"/>
          <w:u w:val="none"/>
          <w:shd w:val="clear"/>
          <w:vertAlign w:val="baseline"/>
          <w:lang w:val="en-US" w:eastAsia="zh-CN"/>
        </w:rPr>
        <w:t xml:space="preserve">第三十四条  </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征收</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城市规划区</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范围外的农村村民住宅，</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以户为单位按照</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一户一宅、相对集中</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的原则，</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在符合乡（镇）国土空间规划、村庄规划的前提下，</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采取集中联建安置、分散迁建安置和货币安置的方式。</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被征收人以合法登记的产权户为单位，任选且只能选择以下一种方式进行安置。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仿宋" w:hAnsi="仿宋" w:eastAsia="仿宋" w:cs="仿宋"/>
          <w:snapToGrid/>
          <w:color w:val="auto"/>
          <w:spacing w:val="0"/>
          <w:w w:val="100"/>
          <w:position w:val="0"/>
          <w:sz w:val="32"/>
          <w:szCs w:val="32"/>
          <w:u w:val="none"/>
          <w:shd w:val="clear"/>
          <w:vertAlign w:val="baseline"/>
          <w:lang w:val="en-US" w:eastAsia="zh-CN"/>
        </w:rPr>
        <w:t>1.</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货币安置</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，按</w:t>
      </w:r>
      <w:r>
        <w:rPr>
          <w:rFonts w:hint="eastAsia" w:ascii="仿宋" w:hAnsi="仿宋" w:eastAsia="仿宋" w:cs="仿宋"/>
          <w:color w:val="auto"/>
          <w:sz w:val="32"/>
          <w:szCs w:val="32"/>
          <w:u w:val="none"/>
          <w:lang w:val="en-US" w:eastAsia="zh-CN"/>
        </w:rPr>
        <w:t>房地合一方式评估房屋价值的方式进行货币补偿安置。即被征收房屋的价值由具有相应资质的评估机构参照国有土地上房屋评估确定，扣除与证载土地面积征地补偿费相等的价值后，由被征收人全额领取，不再进行其他安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textAlignment w:val="auto"/>
        <w:outlineLvl w:val="9"/>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仿宋" w:hAnsi="仿宋" w:eastAsia="仿宋" w:cs="仿宋"/>
          <w:color w:val="auto"/>
          <w:sz w:val="32"/>
          <w:szCs w:val="32"/>
          <w:u w:val="none"/>
          <w:lang w:val="en-US" w:eastAsia="zh-CN"/>
        </w:rPr>
        <w:t>2.</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eastAsia="zh-CN"/>
        </w:rPr>
        <w:t>集中联建</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安置</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eastAsia="zh-CN"/>
        </w:rPr>
        <w:t>，</w:t>
      </w:r>
      <w:r>
        <w:rPr>
          <w:rFonts w:hint="eastAsia" w:ascii="仿宋" w:hAnsi="仿宋" w:eastAsia="仿宋" w:cs="仿宋"/>
          <w:b w:val="0"/>
          <w:bCs w:val="0"/>
          <w:color w:val="auto"/>
          <w:spacing w:val="0"/>
          <w:sz w:val="32"/>
          <w:szCs w:val="32"/>
          <w:u w:val="none"/>
          <w:lang w:val="en-US" w:eastAsia="zh-CN"/>
        </w:rPr>
        <w:t>根据规划设计要求，统一标高、统一楼层、统一格调、统一外观。</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eastAsia="zh-CN"/>
        </w:rPr>
        <w:t>安置用地的土地、土地平</w:t>
      </w:r>
      <w:r>
        <w:rPr>
          <w:rFonts w:hint="default" w:ascii="Times New Roman" w:hAnsi="Times New Roman" w:eastAsia="仿宋_GB2312" w:cs="Times New Roman"/>
          <w:snapToGrid/>
          <w:color w:val="auto"/>
          <w:spacing w:val="6"/>
          <w:w w:val="100"/>
          <w:position w:val="0"/>
          <w:sz w:val="32"/>
          <w:szCs w:val="32"/>
          <w:u w:val="none"/>
          <w:shd w:val="clear"/>
          <w:vertAlign w:val="baseline"/>
          <w:lang w:val="zh-CN" w:eastAsia="zh-CN"/>
        </w:rPr>
        <w:t>整、通水、通电、道路以及房</w:t>
      </w:r>
      <w:r>
        <w:rPr>
          <w:rFonts w:hint="default" w:ascii="Times New Roman" w:hAnsi="Times New Roman" w:eastAsia="仿宋_GB2312" w:cs="Times New Roman"/>
          <w:bCs/>
          <w:snapToGrid/>
          <w:color w:val="auto"/>
          <w:spacing w:val="6"/>
          <w:w w:val="100"/>
          <w:kern w:val="0"/>
          <w:position w:val="0"/>
          <w:sz w:val="32"/>
          <w:szCs w:val="32"/>
          <w:u w:val="none"/>
          <w:shd w:val="clear"/>
          <w:vertAlign w:val="baseline"/>
          <w:lang w:val="zh-CN" w:eastAsia="zh-CN" w:bidi="ar-SA"/>
        </w:rPr>
        <w:t>屋基础超深部分（即基础超过1.5</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米）的费用，纳入征收成本。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textAlignment w:val="auto"/>
        <w:outlineLvl w:val="9"/>
        <w:rPr>
          <w:rFonts w:hint="default" w:ascii="Times New Roman" w:hAnsi="Times New Roman" w:eastAsia="仿宋_GB2312" w:cs="Times New Roman"/>
          <w:bCs/>
          <w:snapToGrid/>
          <w:color w:val="auto"/>
          <w:spacing w:val="-6"/>
          <w:w w:val="100"/>
          <w:kern w:val="0"/>
          <w:position w:val="0"/>
          <w:sz w:val="32"/>
          <w:szCs w:val="32"/>
          <w:u w:val="none"/>
          <w:shd w:val="clear"/>
          <w:vertAlign w:val="baseline"/>
          <w:lang w:val="zh-CN" w:eastAsia="zh-CN" w:bidi="ar-SA"/>
        </w:rPr>
      </w:pPr>
      <w:r>
        <w:rPr>
          <w:rFonts w:hint="eastAsia" w:ascii="仿宋" w:hAnsi="仿宋" w:eastAsia="仿宋" w:cs="仿宋"/>
          <w:b w:val="0"/>
          <w:bCs w:val="0"/>
          <w:color w:val="auto"/>
          <w:sz w:val="32"/>
          <w:szCs w:val="32"/>
          <w:u w:val="none"/>
          <w:lang w:val="en-US" w:eastAsia="zh-CN"/>
        </w:rPr>
        <w:t>3.</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eastAsia="zh-CN"/>
        </w:rPr>
        <w:t>分散迁建</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安置，安置用地的土地平整、通水、通电、道路以及房屋基础超深</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部分</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（即基础超过1.5米）</w:t>
      </w:r>
      <w:r>
        <w:rPr>
          <w:rFonts w:hint="default" w:ascii="Times New Roman" w:hAnsi="Times New Roman" w:eastAsia="仿宋_GB2312" w:cs="Times New Roman"/>
          <w:bCs/>
          <w:snapToGrid/>
          <w:color w:val="auto"/>
          <w:spacing w:val="11"/>
          <w:w w:val="100"/>
          <w:kern w:val="0"/>
          <w:position w:val="0"/>
          <w:sz w:val="32"/>
          <w:szCs w:val="32"/>
          <w:u w:val="none"/>
          <w:shd w:val="clear"/>
          <w:vertAlign w:val="baseline"/>
          <w:lang w:val="zh-CN" w:eastAsia="zh-CN" w:bidi="ar-SA"/>
        </w:rPr>
        <w:t>等相关费用，根据实际情况，由征收项目业主单位按不高于</w:t>
      </w:r>
      <w:r>
        <w:rPr>
          <w:rFonts w:hint="default" w:ascii="Times New Roman" w:hAnsi="Times New Roman" w:eastAsia="仿宋_GB2312" w:cs="Times New Roman"/>
          <w:bCs/>
          <w:snapToGrid/>
          <w:color w:val="auto"/>
          <w:spacing w:val="11"/>
          <w:w w:val="100"/>
          <w:kern w:val="0"/>
          <w:position w:val="0"/>
          <w:sz w:val="32"/>
          <w:szCs w:val="32"/>
          <w:u w:val="none"/>
          <w:shd w:val="clear"/>
          <w:vertAlign w:val="baseline"/>
          <w:lang w:val="en-US" w:eastAsia="zh-CN" w:bidi="ar-SA"/>
        </w:rPr>
        <w:t>5</w:t>
      </w:r>
      <w:r>
        <w:rPr>
          <w:rFonts w:hint="default" w:ascii="Times New Roman" w:hAnsi="Times New Roman" w:eastAsia="仿宋_GB2312" w:cs="Times New Roman"/>
          <w:bCs/>
          <w:snapToGrid/>
          <w:color w:val="auto"/>
          <w:spacing w:val="6"/>
          <w:w w:val="100"/>
          <w:kern w:val="0"/>
          <w:position w:val="0"/>
          <w:sz w:val="32"/>
          <w:szCs w:val="32"/>
          <w:u w:val="none"/>
          <w:shd w:val="clear"/>
          <w:vertAlign w:val="baseline"/>
          <w:lang w:val="zh-CN" w:eastAsia="zh-CN" w:bidi="ar-SA"/>
        </w:rPr>
        <w:t>万</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元/户的标准予以补偿，</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纳入征收成本</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firstLine="643" w:firstLineChars="200"/>
        <w:contextualSpacing w:val="0"/>
        <w:textAlignment w:val="auto"/>
        <w:outlineLvl w:val="9"/>
        <w:rPr>
          <w:rFonts w:hint="default" w:ascii="仿宋" w:hAnsi="仿宋" w:eastAsia="仿宋" w:cs="仿宋"/>
          <w:color w:val="auto"/>
          <w:sz w:val="32"/>
          <w:szCs w:val="32"/>
          <w:u w:val="none"/>
          <w:lang w:val="en-US" w:eastAsia="zh-CN"/>
        </w:rPr>
      </w:pPr>
      <w:r>
        <w:rPr>
          <w:rFonts w:hint="eastAsia" w:ascii="仿宋" w:hAnsi="仿宋" w:eastAsia="仿宋" w:cs="仿宋"/>
          <w:b/>
          <w:bCs/>
          <w:snapToGrid/>
          <w:color w:val="auto"/>
          <w:spacing w:val="0"/>
          <w:w w:val="100"/>
          <w:position w:val="0"/>
          <w:sz w:val="32"/>
          <w:szCs w:val="32"/>
          <w:u w:val="none"/>
          <w:shd w:val="clear"/>
          <w:vertAlign w:val="baseline"/>
          <w:lang w:val="en-US" w:eastAsia="zh-CN"/>
        </w:rPr>
        <w:t xml:space="preserve">第三十五条 </w:t>
      </w:r>
      <w:r>
        <w:rPr>
          <w:rFonts w:hint="eastAsia" w:ascii="Times New Roman" w:hAnsi="Times New Roman" w:eastAsia="楷体_GB2312" w:cs="Times New Roman"/>
          <w:b/>
          <w:bCs/>
          <w:snapToGrid/>
          <w:color w:val="auto"/>
          <w:spacing w:val="0"/>
          <w:w w:val="100"/>
          <w:position w:val="0"/>
          <w:sz w:val="32"/>
          <w:szCs w:val="32"/>
          <w:u w:val="none"/>
          <w:shd w:val="clear"/>
          <w:vertAlign w:val="baseline"/>
          <w:lang w:val="en-US" w:eastAsia="zh-CN"/>
        </w:rPr>
        <w:t xml:space="preserve"> </w:t>
      </w:r>
      <w:r>
        <w:rPr>
          <w:rFonts w:hint="default" w:ascii="仿宋" w:hAnsi="仿宋" w:eastAsia="仿宋" w:cs="仿宋"/>
          <w:color w:val="auto"/>
          <w:sz w:val="32"/>
          <w:szCs w:val="32"/>
          <w:u w:val="none"/>
          <w:lang w:val="en-US" w:eastAsia="zh-CN"/>
        </w:rPr>
        <w:t>被征收户</w:t>
      </w:r>
      <w:r>
        <w:rPr>
          <w:rFonts w:hint="eastAsia" w:ascii="仿宋" w:hAnsi="仿宋" w:eastAsia="仿宋" w:cs="仿宋"/>
          <w:color w:val="auto"/>
          <w:sz w:val="32"/>
          <w:szCs w:val="32"/>
          <w:u w:val="none"/>
          <w:lang w:val="en-US" w:eastAsia="zh-CN"/>
        </w:rPr>
        <w:t>因土地、房屋被县级以上人民政府征收、征用，以货币补偿方式重新购置土地、房屋的，与货币补偿等值部分，免征契税。超过等值部分的，应按规定征收契税</w:t>
      </w:r>
      <w:r>
        <w:rPr>
          <w:rFonts w:hint="default" w:ascii="仿宋" w:hAnsi="仿宋" w:eastAsia="仿宋" w:cs="仿宋"/>
          <w:color w:val="auto"/>
          <w:sz w:val="32"/>
          <w:szCs w:val="32"/>
          <w:u w:val="none"/>
          <w:lang w:val="en-US"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firstLine="643" w:firstLineChars="200"/>
        <w:contextualSpacing w:val="0"/>
        <w:textAlignment w:val="auto"/>
        <w:outlineLvl w:val="9"/>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pPr>
      <w:r>
        <w:rPr>
          <w:rFonts w:hint="eastAsia" w:ascii="仿宋" w:hAnsi="仿宋" w:eastAsia="仿宋" w:cs="仿宋"/>
          <w:b/>
          <w:bCs/>
          <w:snapToGrid/>
          <w:color w:val="auto"/>
          <w:spacing w:val="0"/>
          <w:w w:val="100"/>
          <w:position w:val="0"/>
          <w:sz w:val="32"/>
          <w:szCs w:val="32"/>
          <w:u w:val="none"/>
          <w:shd w:val="clear"/>
          <w:vertAlign w:val="baseline"/>
          <w:lang w:val="en-US" w:eastAsia="zh-CN"/>
        </w:rPr>
        <w:t>第三十六条</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搬家补助费及临时安置过渡费</w:t>
      </w:r>
      <w:r>
        <w:rPr>
          <w:rFonts w:hint="eastAsia" w:ascii="Times New Roman" w:hAnsi="Times New Roman" w:eastAsia="仿宋_GB2312" w:cs="Times New Roman"/>
          <w:snapToGrid/>
          <w:color w:val="auto"/>
          <w:spacing w:val="0"/>
          <w:w w:val="100"/>
          <w:position w:val="0"/>
          <w:sz w:val="32"/>
          <w:szCs w:val="32"/>
          <w:u w:val="none"/>
          <w:shd w:val="clear"/>
          <w:vertAlign w:val="baseline"/>
          <w:lang w:val="en-US" w:eastAsia="zh-CN"/>
        </w:rPr>
        <w:t>补助的标准、期限和方式。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（一）搬家补助费：</w:t>
      </w:r>
      <w:r>
        <w:rPr>
          <w:rFonts w:hint="default" w:ascii="仿宋" w:hAnsi="仿宋" w:eastAsia="仿宋" w:cs="仿宋"/>
          <w:b w:val="0"/>
          <w:bCs w:val="0"/>
          <w:color w:val="auto"/>
          <w:spacing w:val="0"/>
          <w:sz w:val="32"/>
          <w:szCs w:val="32"/>
          <w:u w:val="none"/>
          <w:lang w:val="en-US" w:eastAsia="zh-CN"/>
        </w:rPr>
        <w:t>搬家补助费按1000元/户/次确定，</w:t>
      </w:r>
      <w:r>
        <w:rPr>
          <w:rFonts w:hint="eastAsia" w:ascii="仿宋" w:hAnsi="仿宋" w:eastAsia="仿宋" w:cs="仿宋"/>
          <w:b w:val="0"/>
          <w:bCs w:val="0"/>
          <w:color w:val="auto"/>
          <w:spacing w:val="0"/>
          <w:sz w:val="32"/>
          <w:szCs w:val="32"/>
          <w:u w:val="none"/>
          <w:lang w:val="en-US" w:eastAsia="zh-CN"/>
        </w:rPr>
        <w:t>选择货币安置的支付一次</w:t>
      </w:r>
      <w:r>
        <w:rPr>
          <w:rFonts w:hint="default" w:ascii="仿宋" w:hAnsi="仿宋" w:eastAsia="仿宋" w:cs="仿宋"/>
          <w:b w:val="0"/>
          <w:bCs w:val="0"/>
          <w:color w:val="auto"/>
          <w:spacing w:val="0"/>
          <w:sz w:val="32"/>
          <w:szCs w:val="32"/>
          <w:u w:val="none"/>
          <w:lang w:val="en-US" w:eastAsia="zh-CN"/>
        </w:rPr>
        <w:t>搬家补助费</w:t>
      </w:r>
      <w:r>
        <w:rPr>
          <w:rFonts w:hint="eastAsia" w:ascii="仿宋" w:hAnsi="仿宋" w:eastAsia="仿宋" w:cs="仿宋"/>
          <w:b w:val="0"/>
          <w:bCs w:val="0"/>
          <w:color w:val="auto"/>
          <w:spacing w:val="0"/>
          <w:sz w:val="32"/>
          <w:szCs w:val="32"/>
          <w:u w:val="none"/>
          <w:lang w:val="en-US" w:eastAsia="zh-CN"/>
        </w:rPr>
        <w:t>；选择领取集中联建、分散迁建的支付二次</w:t>
      </w:r>
      <w:r>
        <w:rPr>
          <w:rFonts w:hint="default" w:ascii="仿宋" w:hAnsi="仿宋" w:eastAsia="仿宋" w:cs="仿宋"/>
          <w:b w:val="0"/>
          <w:bCs w:val="0"/>
          <w:color w:val="auto"/>
          <w:spacing w:val="0"/>
          <w:sz w:val="32"/>
          <w:szCs w:val="32"/>
          <w:u w:val="none"/>
          <w:lang w:val="en-US" w:eastAsia="zh-CN"/>
        </w:rPr>
        <w:t>搬家补助费。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single"/>
        </w:rPr>
      </w:pPr>
      <w:r>
        <w:rPr>
          <w:rFonts w:hint="eastAsia" w:ascii="仿宋" w:hAnsi="仿宋" w:eastAsia="仿宋" w:cs="仿宋"/>
          <w:b w:val="0"/>
          <w:bCs w:val="0"/>
          <w:color w:val="auto"/>
          <w:spacing w:val="0"/>
          <w:sz w:val="32"/>
          <w:szCs w:val="32"/>
          <w:u w:val="none"/>
          <w:lang w:val="en-US" w:eastAsia="zh-CN"/>
        </w:rPr>
        <w:t>（二）临时安置过渡费：过渡期间的安置补助费按被征收房屋建筑面积计算，被征收房屋建筑面积为100平方米及以下的，每户每月补偿700元；住宅房屋面积超过100平方米低于200平方米（含200平方米）的，每增加1平方米增加5元／月；建筑面积超过200平方米的，统一按照200平方米的标准进行补偿。</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（三）过渡期限：选择货币补偿过渡期限为12个月，择</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集中联建安置、分散迁建安置</w:t>
      </w:r>
      <w:r>
        <w:rPr>
          <w:rFonts w:hint="eastAsia" w:ascii="仿宋" w:hAnsi="仿宋" w:eastAsia="仿宋" w:cs="仿宋"/>
          <w:b w:val="0"/>
          <w:bCs w:val="0"/>
          <w:color w:val="auto"/>
          <w:spacing w:val="0"/>
          <w:sz w:val="32"/>
          <w:szCs w:val="32"/>
          <w:u w:val="none"/>
          <w:lang w:val="en-US" w:eastAsia="zh-CN"/>
        </w:rPr>
        <w:t>过渡期限最多不超过24个月。</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pacing w:val="0"/>
          <w:sz w:val="32"/>
          <w:szCs w:val="32"/>
          <w:u w:val="none"/>
          <w:lang w:val="en-US" w:eastAsia="zh-CN"/>
        </w:rPr>
      </w:pPr>
      <w:r>
        <w:rPr>
          <w:rFonts w:hint="eastAsia" w:ascii="仿宋" w:hAnsi="仿宋" w:eastAsia="仿宋" w:cs="仿宋"/>
          <w:b w:val="0"/>
          <w:bCs w:val="0"/>
          <w:color w:val="auto"/>
          <w:spacing w:val="0"/>
          <w:sz w:val="32"/>
          <w:szCs w:val="32"/>
          <w:u w:val="none"/>
          <w:lang w:val="en-US" w:eastAsia="zh-CN"/>
        </w:rPr>
        <w:t>（四）过渡方式：自行过渡为主。要求提供过渡房的，不给予过渡期间安置过渡费；自行过渡的，给予过渡期间安置过渡费。</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center"/>
        <w:textAlignment w:val="auto"/>
        <w:rPr>
          <w:rFonts w:hint="eastAsia" w:ascii="黑体" w:hAnsi="黑体" w:eastAsia="黑体" w:cs="黑体"/>
          <w:b/>
          <w:color w:val="auto"/>
          <w:sz w:val="32"/>
          <w:szCs w:val="32"/>
        </w:rPr>
      </w:pPr>
      <w:r>
        <w:rPr>
          <w:rFonts w:hint="eastAsia" w:ascii="黑体" w:hAnsi="黑体" w:eastAsia="黑体" w:cs="黑体"/>
          <w:color w:val="auto"/>
          <w:spacing w:val="0"/>
          <w:sz w:val="32"/>
          <w:szCs w:val="32"/>
          <w:lang w:val="en-US" w:eastAsia="zh-CN"/>
        </w:rPr>
        <w:t xml:space="preserve">第六章  </w:t>
      </w:r>
      <w:r>
        <w:rPr>
          <w:rFonts w:hint="eastAsia" w:ascii="黑体" w:hAnsi="黑体" w:eastAsia="黑体" w:cs="黑体"/>
          <w:b w:val="0"/>
          <w:bCs/>
          <w:color w:val="auto"/>
          <w:sz w:val="32"/>
          <w:szCs w:val="32"/>
        </w:rPr>
        <w:t>奖励及优惠政策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u w:val="none"/>
        </w:rPr>
      </w:pPr>
      <w:r>
        <w:rPr>
          <w:rFonts w:hint="eastAsia" w:ascii="仿宋" w:hAnsi="仿宋" w:eastAsia="仿宋" w:cs="仿宋"/>
          <w:b/>
          <w:bCs/>
          <w:color w:val="auto"/>
          <w:sz w:val="32"/>
          <w:szCs w:val="32"/>
          <w:u w:val="none"/>
          <w:lang w:val="en-US" w:eastAsia="zh-CN"/>
        </w:rPr>
        <w:t>第三十七条</w:t>
      </w:r>
      <w:r>
        <w:rPr>
          <w:rFonts w:hint="eastAsia" w:ascii="仿宋" w:hAnsi="仿宋" w:eastAsia="仿宋" w:cs="仿宋"/>
          <w:color w:val="auto"/>
          <w:sz w:val="32"/>
          <w:szCs w:val="32"/>
          <w:u w:val="none"/>
          <w:lang w:val="en-US" w:eastAsia="zh-CN"/>
        </w:rPr>
        <w:t xml:space="preserve">  搬迁奖励及优惠政策只适用被征收住宅的合法主房，非住宅房屋和非主房不执行奖励。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cs="宋体"/>
          <w:color w:val="auto"/>
          <w:sz w:val="28"/>
          <w:szCs w:val="28"/>
          <w:u w:val="none"/>
        </w:rPr>
      </w:pPr>
      <w:r>
        <w:rPr>
          <w:rFonts w:hint="eastAsia" w:ascii="仿宋" w:hAnsi="仿宋" w:eastAsia="仿宋" w:cs="仿宋"/>
          <w:b/>
          <w:bCs w:val="0"/>
          <w:color w:val="auto"/>
          <w:sz w:val="32"/>
          <w:szCs w:val="32"/>
          <w:u w:val="none"/>
          <w:lang w:val="en-US" w:eastAsia="zh-CN"/>
        </w:rPr>
        <w:t>第三十八条</w:t>
      </w:r>
      <w:r>
        <w:rPr>
          <w:rFonts w:hint="eastAsia" w:ascii="仿宋" w:hAnsi="仿宋" w:eastAsia="仿宋" w:cs="仿宋"/>
          <w:bCs/>
          <w:color w:val="auto"/>
          <w:sz w:val="32"/>
          <w:szCs w:val="32"/>
          <w:u w:val="none"/>
          <w:lang w:val="en-US" w:eastAsia="zh-CN"/>
        </w:rPr>
        <w:t xml:space="preserve">  主动配合工作，积极</w:t>
      </w:r>
      <w:r>
        <w:rPr>
          <w:rFonts w:hint="eastAsia" w:ascii="仿宋" w:hAnsi="仿宋" w:eastAsia="仿宋" w:cs="仿宋"/>
          <w:color w:val="auto"/>
          <w:sz w:val="32"/>
          <w:szCs w:val="32"/>
          <w:u w:val="none"/>
        </w:rPr>
        <w:t>签订《房屋征收补偿安置协议》，并在协议规定时间内完成搬迁腾地的，经征收安置部门验收认可后，有下列情形之一的，分别给予奖励：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（一）按时签订协议</w:t>
      </w:r>
      <w:r>
        <w:rPr>
          <w:rFonts w:hint="eastAsia" w:ascii="仿宋" w:hAnsi="仿宋" w:eastAsia="仿宋" w:cs="仿宋"/>
          <w:color w:val="auto"/>
          <w:sz w:val="32"/>
          <w:szCs w:val="32"/>
          <w:u w:val="none"/>
        </w:rPr>
        <w:t>奖：</w:t>
      </w:r>
      <w:r>
        <w:rPr>
          <w:rFonts w:hint="eastAsia" w:ascii="仿宋" w:hAnsi="仿宋" w:eastAsia="仿宋" w:cs="仿宋"/>
          <w:color w:val="auto"/>
          <w:sz w:val="32"/>
          <w:szCs w:val="32"/>
          <w:u w:val="none"/>
          <w:lang w:val="en-US" w:eastAsia="zh-CN"/>
        </w:rPr>
        <w:t>房屋征收在规定期限内签订征收补偿协议的，可以按被征收房屋主房（居住房屋）的合法建筑面积</w:t>
      </w:r>
      <w:r>
        <w:rPr>
          <w:rFonts w:hint="eastAsia" w:ascii="仿宋" w:hAnsi="仿宋" w:eastAsia="仿宋" w:cs="仿宋"/>
          <w:color w:val="auto"/>
          <w:sz w:val="32"/>
          <w:szCs w:val="32"/>
          <w:u w:val="none"/>
        </w:rPr>
        <w:t>给予</w:t>
      </w:r>
      <w:r>
        <w:rPr>
          <w:rFonts w:hint="eastAsia" w:ascii="仿宋" w:hAnsi="仿宋" w:eastAsia="仿宋" w:cs="仿宋"/>
          <w:color w:val="auto"/>
          <w:sz w:val="32"/>
          <w:szCs w:val="32"/>
          <w:u w:val="none"/>
          <w:lang w:val="en-US" w:eastAsia="zh-CN"/>
        </w:rPr>
        <w:t>100</w:t>
      </w:r>
      <w:r>
        <w:rPr>
          <w:rFonts w:hint="eastAsia" w:ascii="仿宋" w:hAnsi="仿宋" w:eastAsia="仿宋" w:cs="仿宋"/>
          <w:color w:val="auto"/>
          <w:sz w:val="32"/>
          <w:szCs w:val="32"/>
          <w:u w:val="none"/>
        </w:rPr>
        <w:t>元/㎡的奖励</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腾</w:t>
      </w:r>
      <w:r>
        <w:rPr>
          <w:rFonts w:hint="eastAsia" w:ascii="仿宋" w:hAnsi="仿宋" w:eastAsia="仿宋" w:cs="仿宋"/>
          <w:color w:val="auto"/>
          <w:sz w:val="32"/>
          <w:szCs w:val="32"/>
          <w:u w:val="none"/>
          <w:lang w:val="en-US" w:eastAsia="zh-CN"/>
        </w:rPr>
        <w:t>房</w:t>
      </w:r>
      <w:r>
        <w:rPr>
          <w:rFonts w:hint="eastAsia" w:ascii="仿宋" w:hAnsi="仿宋" w:eastAsia="仿宋" w:cs="仿宋"/>
          <w:color w:val="auto"/>
          <w:sz w:val="32"/>
          <w:szCs w:val="32"/>
          <w:u w:val="none"/>
        </w:rPr>
        <w:t>搬迁</w:t>
      </w:r>
      <w:r>
        <w:rPr>
          <w:rFonts w:hint="eastAsia" w:ascii="仿宋" w:hAnsi="仿宋" w:eastAsia="仿宋" w:cs="仿宋"/>
          <w:color w:val="auto"/>
          <w:sz w:val="32"/>
          <w:szCs w:val="32"/>
          <w:u w:val="none"/>
          <w:lang w:val="en-US" w:eastAsia="zh-CN"/>
        </w:rPr>
        <w:t>奖：协议签订后在规定的期限内</w:t>
      </w:r>
      <w:r>
        <w:rPr>
          <w:rFonts w:hint="eastAsia" w:ascii="仿宋" w:hAnsi="仿宋" w:eastAsia="仿宋" w:cs="仿宋"/>
          <w:color w:val="auto"/>
          <w:sz w:val="32"/>
          <w:szCs w:val="32"/>
          <w:u w:val="none"/>
        </w:rPr>
        <w:t>腾</w:t>
      </w:r>
      <w:r>
        <w:rPr>
          <w:rFonts w:hint="eastAsia" w:ascii="仿宋" w:hAnsi="仿宋" w:eastAsia="仿宋" w:cs="仿宋"/>
          <w:color w:val="auto"/>
          <w:sz w:val="32"/>
          <w:szCs w:val="32"/>
          <w:u w:val="none"/>
          <w:lang w:val="en-US" w:eastAsia="zh-CN"/>
        </w:rPr>
        <w:t>房</w:t>
      </w:r>
      <w:r>
        <w:rPr>
          <w:rFonts w:hint="eastAsia" w:ascii="仿宋" w:hAnsi="仿宋" w:eastAsia="仿宋" w:cs="仿宋"/>
          <w:color w:val="auto"/>
          <w:sz w:val="32"/>
          <w:szCs w:val="32"/>
          <w:u w:val="none"/>
        </w:rPr>
        <w:t>搬迁</w:t>
      </w:r>
      <w:r>
        <w:rPr>
          <w:rFonts w:hint="eastAsia" w:ascii="仿宋" w:hAnsi="仿宋" w:eastAsia="仿宋" w:cs="仿宋"/>
          <w:color w:val="auto"/>
          <w:sz w:val="32"/>
          <w:szCs w:val="32"/>
          <w:u w:val="none"/>
          <w:lang w:val="en-US" w:eastAsia="zh-CN"/>
        </w:rPr>
        <w:t>交地后，按被征收房屋主房（居住房屋）的建筑面积给予100</w:t>
      </w:r>
      <w:r>
        <w:rPr>
          <w:rFonts w:hint="eastAsia" w:ascii="仿宋" w:hAnsi="仿宋" w:eastAsia="仿宋" w:cs="仿宋"/>
          <w:color w:val="auto"/>
          <w:sz w:val="32"/>
          <w:szCs w:val="32"/>
          <w:u w:val="none"/>
        </w:rPr>
        <w:t>元/㎡的奖励</w:t>
      </w:r>
      <w:r>
        <w:rPr>
          <w:rFonts w:hint="eastAsia" w:ascii="仿宋" w:hAnsi="仿宋" w:eastAsia="仿宋" w:cs="仿宋"/>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kern w:val="0"/>
          <w:sz w:val="32"/>
          <w:szCs w:val="32"/>
          <w:u w:val="none"/>
          <w:lang w:val="en"/>
        </w:rPr>
      </w:pPr>
      <w:r>
        <w:rPr>
          <w:rFonts w:hint="eastAsia" w:ascii="仿宋" w:hAnsi="仿宋" w:eastAsia="仿宋" w:cs="仿宋"/>
          <w:color w:val="auto"/>
          <w:sz w:val="32"/>
          <w:szCs w:val="32"/>
          <w:u w:val="none"/>
          <w:lang w:val="en" w:eastAsia="zh-CN"/>
        </w:rPr>
        <w:t>（</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lang w:val="en" w:eastAsia="zh-CN"/>
        </w:rPr>
        <w:t>）</w:t>
      </w:r>
      <w:r>
        <w:rPr>
          <w:rFonts w:hint="eastAsia" w:ascii="仿宋" w:hAnsi="仿宋" w:eastAsia="仿宋" w:cs="仿宋"/>
          <w:color w:val="auto"/>
          <w:sz w:val="32"/>
          <w:szCs w:val="32"/>
          <w:u w:val="none"/>
          <w:lang w:val="en"/>
        </w:rPr>
        <w:t>执行规划奖：</w:t>
      </w:r>
      <w:r>
        <w:rPr>
          <w:rFonts w:hint="eastAsia" w:ascii="仿宋" w:hAnsi="仿宋" w:eastAsia="仿宋" w:cs="仿宋"/>
          <w:color w:val="auto"/>
          <w:kern w:val="0"/>
          <w:sz w:val="32"/>
          <w:szCs w:val="32"/>
          <w:u w:val="none"/>
          <w:lang w:val="en"/>
        </w:rPr>
        <w:t>符合安置条件</w:t>
      </w:r>
      <w:r>
        <w:rPr>
          <w:rFonts w:hint="eastAsia" w:ascii="仿宋" w:hAnsi="仿宋" w:eastAsia="仿宋" w:cs="仿宋"/>
          <w:color w:val="auto"/>
          <w:kern w:val="0"/>
          <w:sz w:val="32"/>
          <w:szCs w:val="32"/>
          <w:u w:val="none"/>
          <w:lang w:val="en-US" w:eastAsia="zh-CN"/>
        </w:rPr>
        <w:t>的统规自建</w:t>
      </w:r>
      <w:r>
        <w:rPr>
          <w:rFonts w:hint="eastAsia" w:ascii="仿宋" w:hAnsi="仿宋" w:eastAsia="仿宋" w:cs="仿宋"/>
          <w:color w:val="auto"/>
          <w:kern w:val="0"/>
          <w:sz w:val="32"/>
          <w:szCs w:val="32"/>
          <w:u w:val="none"/>
          <w:lang w:val="en"/>
        </w:rPr>
        <w:t>安置户，按照规划设计要求进行建设，房屋建成后经验收合格的，按被征收</w:t>
      </w:r>
      <w:r>
        <w:rPr>
          <w:rFonts w:hint="eastAsia" w:ascii="仿宋" w:hAnsi="仿宋" w:eastAsia="仿宋" w:cs="仿宋"/>
          <w:color w:val="auto"/>
          <w:sz w:val="32"/>
          <w:szCs w:val="32"/>
          <w:u w:val="none"/>
        </w:rPr>
        <w:t>合法住宅房屋</w:t>
      </w:r>
      <w:r>
        <w:rPr>
          <w:rFonts w:hint="eastAsia" w:ascii="仿宋" w:hAnsi="仿宋" w:eastAsia="仿宋" w:cs="仿宋"/>
          <w:color w:val="auto"/>
          <w:kern w:val="0"/>
          <w:sz w:val="32"/>
          <w:szCs w:val="32"/>
          <w:u w:val="none"/>
          <w:lang w:val="en"/>
        </w:rPr>
        <w:t>面积给予</w:t>
      </w:r>
      <w:r>
        <w:rPr>
          <w:rFonts w:hint="eastAsia" w:ascii="仿宋" w:hAnsi="仿宋" w:eastAsia="仿宋" w:cs="仿宋"/>
          <w:color w:val="auto"/>
          <w:kern w:val="0"/>
          <w:sz w:val="32"/>
          <w:szCs w:val="32"/>
          <w:u w:val="none"/>
          <w:lang w:val="en-US" w:eastAsia="zh-CN"/>
        </w:rPr>
        <w:t>1</w:t>
      </w:r>
      <w:r>
        <w:rPr>
          <w:rFonts w:hint="eastAsia" w:ascii="仿宋" w:hAnsi="仿宋" w:eastAsia="仿宋" w:cs="仿宋"/>
          <w:color w:val="auto"/>
          <w:kern w:val="0"/>
          <w:sz w:val="32"/>
          <w:szCs w:val="32"/>
          <w:u w:val="none"/>
          <w:lang w:val="en"/>
        </w:rPr>
        <w:t>00元/㎡的执行规划奖励。</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eastAsia="仿宋"/>
          <w:color w:val="auto"/>
          <w:u w:val="none"/>
          <w:lang w:val="en-US" w:eastAsia="zh-CN"/>
        </w:rPr>
      </w:pPr>
      <w:r>
        <w:rPr>
          <w:rFonts w:hint="eastAsia" w:eastAsia="仿宋"/>
          <w:color w:val="auto"/>
          <w:sz w:val="32"/>
          <w:szCs w:val="32"/>
          <w:u w:val="none"/>
          <w:lang w:val="en-US" w:eastAsia="zh-CN"/>
        </w:rPr>
        <w:t>（四）自备安置地奖：城市规划区外选择分散迁建方式并在自备土地上建房的给予30000元奖励。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选择货币补偿安置的</w:t>
      </w:r>
      <w:r>
        <w:rPr>
          <w:rFonts w:hint="eastAsia" w:eastAsia="仿宋"/>
          <w:color w:val="auto"/>
          <w:sz w:val="32"/>
          <w:szCs w:val="32"/>
          <w:u w:val="none"/>
          <w:lang w:val="en-US" w:eastAsia="zh-CN"/>
        </w:rPr>
        <w:t>给予30000元奖励</w:t>
      </w:r>
      <w:r>
        <w:rPr>
          <w:rFonts w:hint="eastAsia" w:eastAsia="仿宋_GB2312"/>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lang w:val="en-US" w:eastAsia="zh-CN"/>
        </w:rPr>
        <w:t>在房屋征收补偿方案确定的签约期限内，被征收人因重大疾病、突发重大意外事故、丧失劳动能力或遭受重大自然灾害等情况，在房屋征收期间确有搬迁困难的，由本人申请，经房屋所在地的乡镇人民政府以及房屋征收实施单位、民政等部门核实，由房屋征收部门在征收范围内公示后，对符合条件的，由房屋征收部门给予搬迁困难补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color w:val="auto"/>
          <w:sz w:val="32"/>
          <w:szCs w:val="32"/>
          <w:lang w:val="en-US" w:eastAsia="zh-CN"/>
        </w:rPr>
        <w:t>患有下列重大疾病的被征收人，经二级甲等以上医院诊断并出具疾病证明，给予10000元的搬迁困难补助；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①</w:t>
      </w:r>
      <w:r>
        <w:rPr>
          <w:rFonts w:hint="eastAsia" w:ascii="仿宋" w:hAnsi="仿宋" w:eastAsia="仿宋" w:cs="仿宋"/>
          <w:color w:val="auto"/>
          <w:sz w:val="32"/>
          <w:szCs w:val="32"/>
          <w:lang w:val="en-US" w:eastAsia="zh-CN"/>
        </w:rPr>
        <w:t>系统性红斑狼疮并发肾功能损害、终末期肾病（慢性肾功能衰竭尿毒症期）；</w:t>
      </w:r>
      <w:r>
        <w:rPr>
          <w:rFonts w:hint="eastAsia" w:ascii="仿宋" w:hAnsi="仿宋" w:eastAsia="仿宋" w:cs="仿宋"/>
          <w:color w:val="auto"/>
          <w:kern w:val="2"/>
          <w:sz w:val="32"/>
          <w:szCs w:val="32"/>
          <w:lang w:val="en-US" w:eastAsia="zh-CN" w:bidi="ar-SA"/>
        </w:rPr>
        <w:t>②</w:t>
      </w:r>
      <w:r>
        <w:rPr>
          <w:rFonts w:hint="eastAsia" w:ascii="仿宋" w:hAnsi="仿宋" w:eastAsia="仿宋" w:cs="仿宋"/>
          <w:color w:val="auto"/>
          <w:sz w:val="32"/>
          <w:szCs w:val="32"/>
          <w:lang w:val="en-US" w:eastAsia="zh-CN"/>
        </w:rPr>
        <w:t>恶性肿瘤；</w:t>
      </w:r>
      <w:r>
        <w:rPr>
          <w:rFonts w:hint="eastAsia" w:ascii="仿宋" w:hAnsi="仿宋" w:eastAsia="仿宋" w:cs="仿宋"/>
          <w:color w:val="auto"/>
          <w:kern w:val="2"/>
          <w:sz w:val="32"/>
          <w:szCs w:val="32"/>
          <w:lang w:val="en-US" w:eastAsia="zh-CN" w:bidi="ar-SA"/>
        </w:rPr>
        <w:t>③</w:t>
      </w:r>
      <w:r>
        <w:rPr>
          <w:rFonts w:hint="eastAsia" w:ascii="仿宋" w:hAnsi="仿宋" w:eastAsia="仿宋" w:cs="仿宋"/>
          <w:color w:val="auto"/>
          <w:sz w:val="32"/>
          <w:szCs w:val="32"/>
          <w:lang w:val="en-US" w:eastAsia="zh-CN"/>
        </w:rPr>
        <w:t>严重传染性肝炎、中晚期慢性重型肝炎及并发症；</w:t>
      </w:r>
      <w:r>
        <w:rPr>
          <w:rFonts w:hint="eastAsia" w:ascii="仿宋" w:hAnsi="仿宋" w:eastAsia="仿宋" w:cs="仿宋"/>
          <w:color w:val="auto"/>
          <w:kern w:val="2"/>
          <w:sz w:val="32"/>
          <w:szCs w:val="32"/>
          <w:lang w:val="en-US" w:eastAsia="zh-CN" w:bidi="ar-SA"/>
        </w:rPr>
        <w:t>④</w:t>
      </w:r>
      <w:r>
        <w:rPr>
          <w:rFonts w:hint="eastAsia" w:ascii="仿宋" w:hAnsi="仿宋" w:eastAsia="仿宋" w:cs="仿宋"/>
          <w:color w:val="auto"/>
          <w:sz w:val="32"/>
          <w:szCs w:val="32"/>
          <w:lang w:val="en-US" w:eastAsia="zh-CN"/>
        </w:rPr>
        <w:t>急性白血病、重型再生障碍性贫血；</w:t>
      </w:r>
      <w:r>
        <w:rPr>
          <w:rFonts w:hint="eastAsia" w:ascii="仿宋" w:hAnsi="仿宋" w:eastAsia="仿宋" w:cs="仿宋"/>
          <w:color w:val="auto"/>
          <w:kern w:val="2"/>
          <w:sz w:val="32"/>
          <w:szCs w:val="32"/>
          <w:lang w:val="en-US" w:eastAsia="zh-CN" w:bidi="ar-SA"/>
        </w:rPr>
        <w:t>⑤</w:t>
      </w:r>
      <w:r>
        <w:rPr>
          <w:rFonts w:hint="eastAsia" w:ascii="仿宋" w:hAnsi="仿宋" w:eastAsia="仿宋" w:cs="仿宋"/>
          <w:color w:val="auto"/>
          <w:sz w:val="32"/>
          <w:szCs w:val="32"/>
          <w:lang w:val="en-US" w:eastAsia="zh-CN"/>
        </w:rPr>
        <w:t>急性心力衰竭和心肌梗塞、风湿热导致的心脏瓣膜疾病；脑中风后遗症。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color w:val="auto"/>
          <w:sz w:val="32"/>
          <w:szCs w:val="32"/>
          <w:lang w:val="en-US" w:eastAsia="zh-CN"/>
        </w:rPr>
        <w:t>被征收人因伤残丧失劳动能力，经司法鉴定机构、人力资源和社会保障部门认定或残疾人联合会出具证明，属1～4级伤残的给予10000元的搬迁困难补助，属5～7级伤残的给予5000元的补助。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3.</w:t>
      </w:r>
      <w:r>
        <w:rPr>
          <w:rFonts w:hint="eastAsia" w:ascii="仿宋" w:hAnsi="仿宋" w:eastAsia="仿宋" w:cs="仿宋"/>
          <w:color w:val="auto"/>
          <w:sz w:val="32"/>
          <w:szCs w:val="32"/>
          <w:lang w:val="en-US" w:eastAsia="zh-CN"/>
        </w:rPr>
        <w:t>被征收人突发重大意外事故或遭遇重大自然灾害的，给予10000元的搬迁困难补助。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被征收人符合上述多项条件的，只能享受其中一项补助。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rPr>
        <w:t>对孤寡老人、五保户等单独立户且愿意采取公共租赁住房或民政集中供养的，以及残疾特困户（家庭有四级以上残疾的持证人员）按民政等相关规定给予不超过1</w:t>
      </w:r>
      <w:r>
        <w:rPr>
          <w:rFonts w:hint="eastAsia" w:ascii="仿宋" w:hAnsi="仿宋" w:eastAsia="仿宋" w:cs="仿宋"/>
          <w:color w:val="auto"/>
          <w:sz w:val="32"/>
          <w:szCs w:val="32"/>
          <w:u w:val="none"/>
          <w:lang w:val="en-US" w:eastAsia="zh-CN"/>
        </w:rPr>
        <w:t>0000</w:t>
      </w:r>
      <w:r>
        <w:rPr>
          <w:rFonts w:hint="eastAsia" w:ascii="仿宋" w:hAnsi="仿宋" w:eastAsia="仿宋" w:cs="仿宋"/>
          <w:color w:val="auto"/>
          <w:sz w:val="32"/>
          <w:szCs w:val="32"/>
          <w:u w:val="none"/>
        </w:rPr>
        <w:t>元的一次性生活困难救助金的政策支持。</w:t>
      </w:r>
    </w:p>
    <w:p>
      <w:pPr>
        <w:keepNext w:val="0"/>
        <w:keepLines w:val="0"/>
        <w:pageBreakBefore w:val="0"/>
        <w:widowControl w:val="0"/>
        <w:tabs>
          <w:tab w:val="left" w:pos="6765"/>
        </w:tabs>
        <w:kinsoku/>
        <w:wordWrap/>
        <w:overflowPunct/>
        <w:topLinePunct w:val="0"/>
        <w:autoSpaceDE/>
        <w:autoSpaceDN/>
        <w:bidi w:val="0"/>
        <w:adjustRightInd/>
        <w:snapToGrid/>
        <w:spacing w:before="0" w:after="0" w:line="560" w:lineRule="exact"/>
        <w:ind w:firstLine="2880" w:firstLineChars="900"/>
        <w:jc w:val="left"/>
        <w:textAlignment w:val="auto"/>
        <w:rPr>
          <w:rFonts w:hint="default" w:ascii="Times New Roman" w:hAnsi="Times New Roman" w:eastAsia="黑体" w:cs="Times New Roman"/>
          <w:color w:val="auto"/>
          <w:spacing w:val="0"/>
          <w:sz w:val="32"/>
          <w:szCs w:val="32"/>
        </w:rPr>
      </w:pPr>
      <w:r>
        <w:rPr>
          <w:rFonts w:hint="default" w:ascii="Times New Roman" w:hAnsi="Times New Roman" w:eastAsia="黑体" w:cs="Times New Roman"/>
          <w:color w:val="auto"/>
          <w:spacing w:val="0"/>
          <w:sz w:val="32"/>
          <w:szCs w:val="32"/>
        </w:rPr>
        <w:t>第</w:t>
      </w:r>
      <w:r>
        <w:rPr>
          <w:rFonts w:hint="eastAsia" w:ascii="Times New Roman" w:hAnsi="Times New Roman" w:eastAsia="黑体" w:cs="Times New Roman"/>
          <w:color w:val="auto"/>
          <w:spacing w:val="0"/>
          <w:sz w:val="32"/>
          <w:szCs w:val="32"/>
          <w:lang w:val="en-US" w:eastAsia="zh-CN"/>
        </w:rPr>
        <w:t>七</w:t>
      </w:r>
      <w:r>
        <w:rPr>
          <w:rFonts w:hint="default" w:ascii="Times New Roman" w:hAnsi="Times New Roman" w:eastAsia="黑体" w:cs="Times New Roman"/>
          <w:color w:val="auto"/>
          <w:spacing w:val="0"/>
          <w:sz w:val="32"/>
          <w:szCs w:val="32"/>
        </w:rPr>
        <w:t>章</w:t>
      </w:r>
      <w:r>
        <w:rPr>
          <w:rFonts w:hint="default" w:ascii="Times New Roman" w:hAnsi="Times New Roman" w:eastAsia="黑体" w:cs="Times New Roman"/>
          <w:color w:val="auto"/>
          <w:spacing w:val="0"/>
          <w:sz w:val="32"/>
          <w:szCs w:val="32"/>
          <w:lang w:val="en-US" w:eastAsia="zh-CN"/>
        </w:rPr>
        <w:t xml:space="preserve">  </w:t>
      </w:r>
      <w:r>
        <w:rPr>
          <w:rFonts w:hint="default" w:ascii="Times New Roman" w:hAnsi="Times New Roman" w:eastAsia="黑体" w:cs="Times New Roman"/>
          <w:color w:val="auto"/>
          <w:spacing w:val="0"/>
          <w:sz w:val="32"/>
          <w:szCs w:val="32"/>
        </w:rPr>
        <w:t>附则</w:t>
      </w:r>
    </w:p>
    <w:p>
      <w:pPr>
        <w:pStyle w:val="6"/>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仿宋" w:hAnsi="仿宋" w:eastAsia="仿宋" w:cs="仿宋"/>
          <w:b/>
          <w:bCs/>
          <w:snapToGrid/>
          <w:color w:val="auto"/>
          <w:spacing w:val="0"/>
          <w:w w:val="100"/>
          <w:position w:val="0"/>
          <w:sz w:val="32"/>
          <w:szCs w:val="32"/>
          <w:u w:val="none"/>
          <w:shd w:val="clear"/>
          <w:vertAlign w:val="baseline"/>
          <w:lang w:val="en-US" w:eastAsia="zh-CN"/>
        </w:rPr>
        <w:t>第三十九条</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 xml:space="preserve">  </w:t>
      </w:r>
      <w:r>
        <w:rPr>
          <w:rFonts w:hint="default" w:ascii="Times New Roman" w:hAnsi="Times New Roman" w:eastAsia="仿宋_GB2312" w:cs="Times New Roman"/>
          <w:snapToGrid/>
          <w:color w:val="auto"/>
          <w:spacing w:val="0"/>
          <w:w w:val="100"/>
          <w:position w:val="0"/>
          <w:sz w:val="32"/>
          <w:szCs w:val="32"/>
          <w:u w:val="none"/>
          <w:shd w:val="clear"/>
          <w:vertAlign w:val="baseline"/>
          <w:lang w:val="zh-CN" w:eastAsia="zh-CN"/>
        </w:rPr>
        <w:t>本</w:t>
      </w:r>
      <w:r>
        <w:rPr>
          <w:rFonts w:hint="default" w:ascii="Times New Roman" w:hAnsi="Times New Roman" w:eastAsia="仿宋_GB2312" w:cs="Times New Roman"/>
          <w:snapToGrid/>
          <w:color w:val="auto"/>
          <w:spacing w:val="0"/>
          <w:w w:val="100"/>
          <w:position w:val="0"/>
          <w:sz w:val="32"/>
          <w:szCs w:val="32"/>
          <w:u w:val="none"/>
          <w:shd w:val="clear"/>
          <w:vertAlign w:val="baseline"/>
          <w:lang w:val="en-US" w:eastAsia="zh-CN"/>
        </w:rPr>
        <w:t>实</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施细则</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自</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公布之日</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起施行，原有关规定与本</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实施细则</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不一致的，按本</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实施细则</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textAlignment w:val="auto"/>
        <w:outlineLvl w:val="9"/>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本</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实施细则公布</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施行前，已公告征地补偿安置方案的，</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可以</w:t>
      </w: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按照公告确定的标准执行。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0" w:firstLineChars="200"/>
        <w:contextualSpacing w:val="0"/>
        <w:textAlignment w:val="auto"/>
        <w:outlineLvl w:val="9"/>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本实施细则公布施行前已办理征地审批手续，但未公告征地补偿安置方案的，按照本实施细则执行。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left="0" w:right="0" w:firstLine="643" w:firstLineChars="20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pPr>
      <w:r>
        <w:rPr>
          <w:rFonts w:hint="eastAsia" w:ascii="仿宋" w:hAnsi="仿宋" w:eastAsia="仿宋" w:cs="仿宋"/>
          <w:b/>
          <w:bCs/>
          <w:snapToGrid/>
          <w:color w:val="auto"/>
          <w:spacing w:val="0"/>
          <w:w w:val="100"/>
          <w:position w:val="0"/>
          <w:sz w:val="32"/>
          <w:szCs w:val="32"/>
          <w:u w:val="none"/>
          <w:shd w:val="clear"/>
          <w:vertAlign w:val="baseline"/>
          <w:lang w:val="en-US" w:eastAsia="zh-CN"/>
        </w:rPr>
        <w:t xml:space="preserve">第四十条  </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本细则实施过程中，国家、省市出台新的相关政策，按新的政策执行。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附件：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1.新晃县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征地补偿标准等级区域划分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2.新晃县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征</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地补偿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标准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rightChars="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3.新晃县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征收范围内水田旱地的青苗补偿标准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4.新晃县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征收范围内成片用材林、果树、经济林的青苗补偿标准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5.新晃县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征收建设用地范围内零星树木、竹类、果树、经济林、苗木、花卉的青苗补偿标准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6.新晃县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集体土地上房屋征收补偿标准说明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7.新晃县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集体土地上房屋征收补偿标准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8.新晃县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房屋装修（饰）补偿标准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9.新晃县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集体土地上生产生活设施和地上建（构）筑物及附着物补偿标准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560" w:lineRule="exact"/>
        <w:ind w:right="0"/>
        <w:contextualSpacing w:val="0"/>
        <w:textAlignment w:val="auto"/>
        <w:outlineLvl w:val="9"/>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pP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t>10.新晃县</w:t>
      </w:r>
      <w:r>
        <w:rPr>
          <w:rFonts w:hint="eastAsia" w:ascii="Times New Roman" w:hAnsi="Times New Roman" w:eastAsia="仿宋_GB2312" w:cs="Times New Roman"/>
          <w:bCs/>
          <w:snapToGrid/>
          <w:color w:val="auto"/>
          <w:spacing w:val="0"/>
          <w:w w:val="100"/>
          <w:kern w:val="0"/>
          <w:position w:val="0"/>
          <w:sz w:val="32"/>
          <w:szCs w:val="32"/>
          <w:u w:val="none"/>
          <w:shd w:val="clear"/>
          <w:vertAlign w:val="baseline"/>
          <w:lang w:val="zh-CN" w:eastAsia="zh-CN" w:bidi="ar-SA"/>
        </w:rPr>
        <w:t>集体土地上坟墓及附属设施征收补偿标准</w:t>
      </w: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
          <w:bCs/>
          <w:color w:val="auto"/>
          <w:sz w:val="32"/>
          <w:szCs w:val="32"/>
          <w:lang w:eastAsia="zh-CN"/>
        </w:rPr>
      </w:pPr>
      <w:r>
        <w:rPr>
          <w:rFonts w:hint="eastAsia" w:ascii="仿宋" w:hAnsi="仿宋" w:eastAsia="仿宋" w:cs="仿宋"/>
          <w:bCs/>
          <w:color w:val="auto"/>
          <w:sz w:val="32"/>
          <w:szCs w:val="32"/>
        </w:rPr>
        <w:t>附件</w:t>
      </w:r>
      <w:r>
        <w:rPr>
          <w:rFonts w:hint="eastAsia" w:ascii="仿宋" w:hAnsi="仿宋" w:eastAsia="仿宋" w:cs="仿宋"/>
          <w:bCs/>
          <w:color w:val="auto"/>
          <w:sz w:val="32"/>
          <w:szCs w:val="32"/>
          <w:lang w:val="en-US" w:eastAsia="zh-CN"/>
        </w:rPr>
        <w:t>1</w:t>
      </w:r>
    </w:p>
    <w:p>
      <w:pPr>
        <w:shd w:val="clear" w:color="auto" w:fill="auto"/>
        <w:jc w:val="center"/>
        <w:rPr>
          <w:rFonts w:hint="eastAsia" w:ascii="黑体" w:hAnsi="黑体" w:eastAsia="黑体" w:cs="黑体"/>
          <w:bCs/>
          <w:color w:val="auto"/>
          <w:sz w:val="44"/>
          <w:szCs w:val="44"/>
        </w:rPr>
      </w:pPr>
      <w:r>
        <w:rPr>
          <w:rFonts w:hint="eastAsia" w:ascii="黑体" w:hAnsi="黑体" w:eastAsia="黑体" w:cs="黑体"/>
          <w:bCs/>
          <w:color w:val="auto"/>
          <w:sz w:val="44"/>
          <w:szCs w:val="44"/>
          <w:lang w:val="en-US" w:eastAsia="zh-CN"/>
        </w:rPr>
        <w:t>新晃县</w:t>
      </w:r>
      <w:r>
        <w:rPr>
          <w:rFonts w:hint="eastAsia" w:ascii="黑体" w:hAnsi="黑体" w:eastAsia="黑体" w:cs="黑体"/>
          <w:bCs/>
          <w:color w:val="auto"/>
          <w:sz w:val="44"/>
          <w:szCs w:val="44"/>
        </w:rPr>
        <w:t>征地补偿标准等级区域划分</w:t>
      </w:r>
    </w:p>
    <w:tbl>
      <w:tblPr>
        <w:tblStyle w:val="7"/>
        <w:tblW w:w="8679" w:type="dxa"/>
        <w:jc w:val="center"/>
        <w:tblInd w:w="0" w:type="dxa"/>
        <w:tblLayout w:type="fixed"/>
        <w:tblCellMar>
          <w:top w:w="0" w:type="dxa"/>
          <w:left w:w="15" w:type="dxa"/>
          <w:bottom w:w="0" w:type="dxa"/>
          <w:right w:w="15" w:type="dxa"/>
        </w:tblCellMar>
      </w:tblPr>
      <w:tblGrid>
        <w:gridCol w:w="1017"/>
        <w:gridCol w:w="1344"/>
        <w:gridCol w:w="6318"/>
      </w:tblGrid>
      <w:tr>
        <w:tblPrEx>
          <w:tblLayout w:type="fixed"/>
          <w:tblCellMar>
            <w:top w:w="0" w:type="dxa"/>
            <w:left w:w="15" w:type="dxa"/>
            <w:bottom w:w="0" w:type="dxa"/>
            <w:right w:w="15" w:type="dxa"/>
          </w:tblCellMar>
        </w:tblPrEx>
        <w:trPr>
          <w:trHeight w:val="1829" w:hRule="atLeast"/>
          <w:jc w:val="center"/>
        </w:trPr>
        <w:tc>
          <w:tcPr>
            <w:tcW w:w="10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84" w:rightChars="-40"/>
              <w:jc w:val="center"/>
              <w:rPr>
                <w:color w:val="auto"/>
              </w:rPr>
            </w:pPr>
            <w:r>
              <w:rPr>
                <w:rFonts w:hint="eastAsia"/>
                <w:color w:val="auto"/>
                <w:sz w:val="24"/>
              </w:rPr>
              <w:t>新晃侗族自治县</w:t>
            </w:r>
          </w:p>
        </w:tc>
        <w:tc>
          <w:tcPr>
            <w:tcW w:w="1344" w:type="dxa"/>
            <w:tcBorders>
              <w:top w:val="single" w:color="auto" w:sz="4" w:space="0"/>
              <w:left w:val="single" w:color="auto" w:sz="4" w:space="0"/>
              <w:bottom w:val="single" w:color="000000" w:sz="4" w:space="0"/>
              <w:right w:val="single" w:color="000000" w:sz="4" w:space="0"/>
            </w:tcBorders>
            <w:noWrap w:val="0"/>
            <w:vAlign w:val="center"/>
          </w:tcPr>
          <w:p>
            <w:pPr>
              <w:spacing w:line="400" w:lineRule="exact"/>
              <w:jc w:val="center"/>
              <w:rPr>
                <w:color w:val="auto"/>
              </w:rPr>
            </w:pPr>
            <w:r>
              <w:rPr>
                <w:rFonts w:hint="eastAsia" w:ascii="宋体" w:cs="宋体"/>
                <w:color w:val="auto"/>
                <w:kern w:val="0"/>
                <w:sz w:val="24"/>
              </w:rPr>
              <w:t>Ⅰ</w:t>
            </w:r>
            <w:r>
              <w:rPr>
                <w:rFonts w:hint="eastAsia"/>
                <w:color w:val="auto"/>
                <w:kern w:val="0"/>
                <w:sz w:val="24"/>
              </w:rPr>
              <w:t>区</w:t>
            </w:r>
          </w:p>
        </w:tc>
        <w:tc>
          <w:tcPr>
            <w:tcW w:w="631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right="139" w:rightChars="66"/>
              <w:rPr>
                <w:color w:val="auto"/>
              </w:rPr>
            </w:pPr>
            <w:r>
              <w:rPr>
                <w:rFonts w:hint="eastAsia"/>
                <w:b/>
                <w:color w:val="auto"/>
                <w:sz w:val="24"/>
              </w:rPr>
              <w:t>晃州镇：</w:t>
            </w:r>
            <w:r>
              <w:rPr>
                <w:rFonts w:hint="eastAsia"/>
                <w:color w:val="auto"/>
                <w:sz w:val="24"/>
              </w:rPr>
              <w:t>晃州村、柏树林村、民生村、长乐坪村、丁字坳村、胜利村、大桥溪村、大洞坪村、高铁新村、长滩村、沙湾村、杨家桥村、新民村、日光村。</w:t>
            </w:r>
          </w:p>
        </w:tc>
      </w:tr>
      <w:tr>
        <w:tblPrEx>
          <w:tblLayout w:type="fixed"/>
          <w:tblCellMar>
            <w:top w:w="0" w:type="dxa"/>
            <w:left w:w="15" w:type="dxa"/>
            <w:bottom w:w="0" w:type="dxa"/>
            <w:right w:w="15" w:type="dxa"/>
          </w:tblCellMar>
        </w:tblPrEx>
        <w:trPr>
          <w:trHeight w:val="72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344" w:type="dxa"/>
            <w:tcBorders>
              <w:top w:val="nil"/>
              <w:left w:val="single" w:color="auto" w:sz="4" w:space="0"/>
              <w:bottom w:val="single" w:color="000000" w:sz="4" w:space="0"/>
              <w:right w:val="single" w:color="000000" w:sz="4" w:space="0"/>
            </w:tcBorders>
            <w:noWrap w:val="0"/>
            <w:vAlign w:val="center"/>
          </w:tcPr>
          <w:p>
            <w:pPr>
              <w:spacing w:line="400" w:lineRule="exact"/>
              <w:jc w:val="center"/>
              <w:rPr>
                <w:color w:val="auto"/>
              </w:rPr>
            </w:pPr>
            <w:r>
              <w:rPr>
                <w:rFonts w:hint="eastAsia" w:ascii="宋体" w:cs="宋体"/>
                <w:color w:val="auto"/>
                <w:kern w:val="0"/>
                <w:sz w:val="24"/>
              </w:rPr>
              <w:t>Ⅱ</w:t>
            </w:r>
            <w:r>
              <w:rPr>
                <w:rFonts w:hint="eastAsia"/>
                <w:color w:val="auto"/>
                <w:kern w:val="0"/>
                <w:sz w:val="24"/>
              </w:rPr>
              <w:t>区</w:t>
            </w:r>
          </w:p>
        </w:tc>
        <w:tc>
          <w:tcPr>
            <w:tcW w:w="631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right="139" w:rightChars="66"/>
              <w:rPr>
                <w:color w:val="auto"/>
              </w:rPr>
            </w:pPr>
            <w:r>
              <w:rPr>
                <w:rFonts w:hint="eastAsia"/>
                <w:color w:val="auto"/>
                <w:kern w:val="0"/>
                <w:sz w:val="24"/>
              </w:rPr>
              <w:t>除</w:t>
            </w:r>
            <w:r>
              <w:rPr>
                <w:rFonts w:hint="eastAsia" w:ascii="宋体" w:cs="宋体"/>
                <w:color w:val="auto"/>
                <w:kern w:val="0"/>
                <w:sz w:val="24"/>
              </w:rPr>
              <w:t>Ⅰ</w:t>
            </w:r>
            <w:r>
              <w:rPr>
                <w:rFonts w:hint="eastAsia"/>
                <w:color w:val="auto"/>
                <w:kern w:val="0"/>
                <w:sz w:val="24"/>
              </w:rPr>
              <w:t>区以外的其他全部乡镇（街道）、村（社区）</w:t>
            </w:r>
          </w:p>
        </w:tc>
      </w:tr>
    </w:tbl>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Cs/>
          <w:color w:val="auto"/>
          <w:sz w:val="32"/>
          <w:szCs w:val="32"/>
        </w:rPr>
      </w:pPr>
    </w:p>
    <w:p>
      <w:pPr>
        <w:rPr>
          <w:rFonts w:hint="eastAsia" w:ascii="仿宋" w:hAnsi="仿宋" w:eastAsia="仿宋" w:cs="仿宋"/>
          <w:b/>
          <w:bCs/>
          <w:color w:val="auto"/>
          <w:sz w:val="32"/>
          <w:szCs w:val="32"/>
          <w:lang w:eastAsia="zh-CN"/>
        </w:rPr>
      </w:pPr>
      <w:r>
        <w:rPr>
          <w:rFonts w:hint="eastAsia" w:ascii="仿宋" w:hAnsi="仿宋" w:eastAsia="仿宋" w:cs="仿宋"/>
          <w:bCs/>
          <w:color w:val="auto"/>
          <w:sz w:val="32"/>
          <w:szCs w:val="32"/>
        </w:rPr>
        <w:t>附件</w:t>
      </w:r>
      <w:r>
        <w:rPr>
          <w:rFonts w:hint="eastAsia" w:ascii="仿宋" w:hAnsi="仿宋" w:eastAsia="仿宋" w:cs="仿宋"/>
          <w:bCs/>
          <w:color w:val="auto"/>
          <w:sz w:val="32"/>
          <w:szCs w:val="32"/>
          <w:lang w:val="en-US" w:eastAsia="zh-CN"/>
        </w:rPr>
        <w:t>2</w:t>
      </w:r>
    </w:p>
    <w:p>
      <w:pPr>
        <w:shd w:val="clear" w:color="auto" w:fill="auto"/>
        <w:jc w:val="center"/>
        <w:rPr>
          <w:rFonts w:hint="eastAsia" w:ascii="黑体" w:hAnsi="黑体" w:eastAsia="黑体" w:cs="黑体"/>
          <w:bCs/>
          <w:color w:val="auto"/>
          <w:sz w:val="44"/>
          <w:szCs w:val="44"/>
          <w:lang w:val="en-US" w:eastAsia="zh-CN"/>
        </w:rPr>
      </w:pPr>
      <w:r>
        <w:rPr>
          <w:rFonts w:hint="eastAsia" w:ascii="黑体" w:hAnsi="黑体" w:eastAsia="黑体" w:cs="黑体"/>
          <w:bCs/>
          <w:color w:val="auto"/>
          <w:sz w:val="44"/>
          <w:szCs w:val="44"/>
          <w:lang w:val="en-US" w:eastAsia="zh-CN"/>
        </w:rPr>
        <w:t>新晃县征地补偿标准</w:t>
      </w:r>
    </w:p>
    <w:p>
      <w:pPr>
        <w:ind w:firstLine="360"/>
        <w:jc w:val="right"/>
        <w:rPr>
          <w:rFonts w:hint="eastAsia" w:ascii="宋体"/>
          <w:color w:val="auto"/>
          <w:szCs w:val="21"/>
        </w:rPr>
      </w:pPr>
      <w:r>
        <w:rPr>
          <w:rFonts w:hint="eastAsia" w:ascii="宋体"/>
          <w:color w:val="auto"/>
          <w:szCs w:val="21"/>
        </w:rPr>
        <w:t>（单位：元/亩）</w:t>
      </w:r>
    </w:p>
    <w:p>
      <w:pPr>
        <w:ind w:firstLine="360"/>
        <w:jc w:val="right"/>
        <w:rPr>
          <w:rFonts w:hint="eastAsia" w:ascii="宋体"/>
          <w:color w:val="auto"/>
          <w:szCs w:val="21"/>
        </w:rPr>
      </w:pPr>
    </w:p>
    <w:tbl>
      <w:tblPr>
        <w:tblStyle w:val="7"/>
        <w:tblW w:w="8999" w:type="dxa"/>
        <w:jc w:val="center"/>
        <w:tblInd w:w="0"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260"/>
        <w:gridCol w:w="815"/>
        <w:gridCol w:w="788"/>
        <w:gridCol w:w="657"/>
        <w:gridCol w:w="741"/>
        <w:gridCol w:w="749"/>
        <w:gridCol w:w="780"/>
        <w:gridCol w:w="945"/>
        <w:gridCol w:w="840"/>
        <w:gridCol w:w="540"/>
        <w:gridCol w:w="884"/>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Ex>
        <w:trPr>
          <w:trHeight w:val="543"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rFonts w:hint="eastAsia" w:ascii="微软雅黑" w:hAnsi="微软雅黑" w:cs="华文SimSun"/>
                <w:color w:val="auto"/>
              </w:rPr>
            </w:pPr>
            <w:r>
              <w:rPr>
                <w:color w:val="auto"/>
              </w:rPr>
              <w:t>县市区</w:t>
            </w:r>
          </w:p>
        </w:tc>
        <w:tc>
          <w:tcPr>
            <w:tcW w:w="1603" w:type="dxa"/>
            <w:gridSpan w:val="2"/>
            <w:tcBorders>
              <w:top w:val="single" w:color="auto" w:sz="4" w:space="0"/>
              <w:left w:val="single" w:color="auto" w:sz="4" w:space="0"/>
              <w:right w:val="single" w:color="auto" w:sz="4" w:space="0"/>
            </w:tcBorders>
            <w:noWrap w:val="0"/>
            <w:vAlign w:val="top"/>
          </w:tcPr>
          <w:p>
            <w:pPr>
              <w:autoSpaceDE w:val="0"/>
              <w:autoSpaceDN w:val="0"/>
              <w:adjustRightInd w:val="0"/>
              <w:spacing w:line="400" w:lineRule="exact"/>
              <w:jc w:val="center"/>
              <w:rPr>
                <w:rFonts w:hint="eastAsia" w:ascii="微软雅黑" w:eastAsia="微软雅黑" w:cs="华文SimSun"/>
                <w:color w:val="auto"/>
              </w:rPr>
            </w:pPr>
            <w:r>
              <w:rPr>
                <w:rFonts w:hint="eastAsia" w:ascii="微软雅黑" w:eastAsia="微软雅黑" w:cs="华文SimSun"/>
                <w:color w:val="auto"/>
              </w:rPr>
              <w:t>补偿标准</w:t>
            </w:r>
          </w:p>
        </w:tc>
        <w:tc>
          <w:tcPr>
            <w:tcW w:w="6136" w:type="dxa"/>
            <w:gridSpan w:val="8"/>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color w:val="auto"/>
              </w:rPr>
            </w:pPr>
            <w:r>
              <w:rPr>
                <w:color w:val="auto"/>
              </w:rPr>
              <w:t>地</w:t>
            </w:r>
            <w:r>
              <w:rPr>
                <w:rFonts w:hint="eastAsia"/>
                <w:color w:val="auto"/>
              </w:rPr>
              <w:t>类系数</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Ex>
        <w:trPr>
          <w:trHeight w:val="766"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rPr>
                <w:color w:val="auto"/>
              </w:rPr>
            </w:pPr>
          </w:p>
        </w:tc>
        <w:tc>
          <w:tcPr>
            <w:tcW w:w="81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rPr>
                <w:color w:val="auto"/>
              </w:rPr>
            </w:pPr>
            <w:r>
              <w:rPr>
                <w:color w:val="auto"/>
              </w:rPr>
              <w:t>Ⅰ区</w:t>
            </w:r>
          </w:p>
        </w:tc>
        <w:tc>
          <w:tcPr>
            <w:tcW w:w="78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rPr>
                <w:color w:val="auto"/>
              </w:rPr>
            </w:pPr>
            <w:r>
              <w:rPr>
                <w:color w:val="auto"/>
              </w:rPr>
              <w:t>Ⅱ区</w:t>
            </w:r>
          </w:p>
        </w:tc>
        <w:tc>
          <w:tcPr>
            <w:tcW w:w="65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color w:val="auto"/>
              </w:rPr>
            </w:pPr>
            <w:r>
              <w:rPr>
                <w:color w:val="auto"/>
              </w:rPr>
              <w:t>园地</w:t>
            </w:r>
          </w:p>
        </w:tc>
        <w:tc>
          <w:tcPr>
            <w:tcW w:w="74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color w:val="auto"/>
              </w:rPr>
            </w:pPr>
            <w:r>
              <w:rPr>
                <w:color w:val="auto"/>
              </w:rPr>
              <w:t>林地</w:t>
            </w:r>
          </w:p>
        </w:tc>
        <w:tc>
          <w:tcPr>
            <w:tcW w:w="74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color w:val="auto"/>
              </w:rPr>
            </w:pPr>
            <w:r>
              <w:rPr>
                <w:rFonts w:hint="eastAsia"/>
                <w:color w:val="auto"/>
                <w:sz w:val="24"/>
              </w:rPr>
              <w:t>旱地</w:t>
            </w:r>
          </w:p>
        </w:tc>
        <w:tc>
          <w:tcPr>
            <w:tcW w:w="7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color w:val="auto"/>
              </w:rPr>
            </w:pPr>
            <w:r>
              <w:rPr>
                <w:rFonts w:hint="eastAsia"/>
                <w:color w:val="auto"/>
              </w:rPr>
              <w:t>未利用地</w:t>
            </w:r>
          </w:p>
        </w:tc>
        <w:tc>
          <w:tcPr>
            <w:tcW w:w="9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rFonts w:hint="default" w:eastAsia="宋体"/>
                <w:color w:val="auto"/>
                <w:lang w:val="en-US" w:eastAsia="zh-CN"/>
              </w:rPr>
            </w:pPr>
            <w:r>
              <w:rPr>
                <w:rFonts w:hint="eastAsia"/>
                <w:color w:val="auto"/>
                <w:lang w:val="en-US" w:eastAsia="zh-CN"/>
              </w:rPr>
              <w:t>其他农用地</w:t>
            </w:r>
          </w:p>
        </w:tc>
        <w:tc>
          <w:tcPr>
            <w:tcW w:w="8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pPr>
            <w:r>
              <w:rPr>
                <w:rFonts w:hint="eastAsia" w:cs="Times New Roman"/>
                <w:snapToGrid/>
                <w:color w:val="auto"/>
                <w:spacing w:val="0"/>
                <w:w w:val="100"/>
                <w:kern w:val="2"/>
                <w:position w:val="0"/>
                <w:sz w:val="21"/>
                <w:szCs w:val="21"/>
                <w:u w:val="none" w:color="auto"/>
                <w:shd w:val="clear" w:color="auto" w:fill="auto"/>
                <w:vertAlign w:val="baseline"/>
                <w:lang w:val="en-US" w:eastAsia="zh-CN" w:bidi="ar-SA"/>
              </w:rPr>
              <w:t>恢复属性地类</w:t>
            </w:r>
          </w:p>
        </w:tc>
        <w:tc>
          <w:tcPr>
            <w:tcW w:w="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pPr>
            <w:r>
              <w:rPr>
                <w:rFonts w:hint="eastAsia"/>
                <w:color w:val="auto"/>
                <w:lang w:val="en-US" w:eastAsia="zh-CN"/>
              </w:rPr>
              <w:t>水田</w:t>
            </w:r>
          </w:p>
        </w:tc>
        <w:tc>
          <w:tcPr>
            <w:tcW w:w="88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jc w:val="center"/>
              <w:rPr>
                <w:color w:val="auto"/>
              </w:rPr>
            </w:pPr>
            <w:r>
              <w:rPr>
                <w:rFonts w:hint="eastAsia"/>
                <w:color w:val="auto"/>
              </w:rPr>
              <w:t>永久基本农田</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Ex>
        <w:trPr>
          <w:trHeight w:val="785" w:hRule="atLeast"/>
          <w:jc w:val="center"/>
        </w:trPr>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rPr>
                <w:rFonts w:hint="eastAsia" w:ascii="微软雅黑" w:eastAsia="微软雅黑" w:cs="华文SimSun"/>
                <w:color w:val="auto"/>
              </w:rPr>
            </w:pPr>
            <w:r>
              <w:rPr>
                <w:color w:val="auto"/>
              </w:rPr>
              <w:t>新晃侗族自治县</w:t>
            </w:r>
          </w:p>
        </w:tc>
        <w:tc>
          <w:tcPr>
            <w:tcW w:w="81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rPr>
                <w:rFonts w:hint="default" w:ascii="微软雅黑" w:eastAsia="微软雅黑" w:cs="华文SimSun"/>
                <w:color w:val="auto"/>
                <w:lang w:val="en-US" w:eastAsia="zh-CN"/>
              </w:rPr>
            </w:pPr>
            <w:r>
              <w:rPr>
                <w:rFonts w:hint="eastAsia" w:eastAsia="微软雅黑"/>
                <w:color w:val="auto"/>
                <w:lang w:val="en-US" w:eastAsia="zh-CN"/>
              </w:rPr>
              <w:t>73400</w:t>
            </w:r>
          </w:p>
        </w:tc>
        <w:tc>
          <w:tcPr>
            <w:tcW w:w="78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rPr>
                <w:rFonts w:hint="default" w:ascii="微软雅黑" w:eastAsia="微软雅黑" w:cs="华文SimSun"/>
                <w:color w:val="auto"/>
                <w:lang w:val="en-US" w:eastAsia="zh-CN"/>
              </w:rPr>
            </w:pPr>
            <w:r>
              <w:rPr>
                <w:rFonts w:hint="eastAsia" w:eastAsia="微软雅黑"/>
                <w:color w:val="auto"/>
                <w:lang w:val="en-US" w:eastAsia="zh-CN"/>
              </w:rPr>
              <w:t>62600</w:t>
            </w:r>
          </w:p>
        </w:tc>
        <w:tc>
          <w:tcPr>
            <w:tcW w:w="65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ascii="微软雅黑" w:eastAsia="宋体" w:cs="华文SimSun"/>
                <w:color w:val="auto"/>
                <w:lang w:val="en-US" w:eastAsia="zh-CN"/>
              </w:rPr>
            </w:pPr>
            <w:r>
              <w:rPr>
                <w:color w:val="auto"/>
              </w:rPr>
              <w:t>0.</w:t>
            </w:r>
            <w:r>
              <w:rPr>
                <w:rFonts w:hint="eastAsia"/>
                <w:color w:val="auto"/>
                <w:lang w:val="en-US" w:eastAsia="zh-CN"/>
              </w:rPr>
              <w:t>67</w:t>
            </w:r>
          </w:p>
        </w:tc>
        <w:tc>
          <w:tcPr>
            <w:tcW w:w="74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ascii="微软雅黑" w:eastAsia="宋体" w:cs="华文SimSun"/>
                <w:color w:val="auto"/>
                <w:lang w:val="en-US" w:eastAsia="zh-CN"/>
              </w:rPr>
            </w:pPr>
            <w:r>
              <w:rPr>
                <w:color w:val="auto"/>
              </w:rPr>
              <w:t>0.</w:t>
            </w:r>
            <w:r>
              <w:rPr>
                <w:rFonts w:hint="eastAsia"/>
                <w:color w:val="auto"/>
                <w:lang w:val="en-US" w:eastAsia="zh-CN"/>
              </w:rPr>
              <w:t>67</w:t>
            </w:r>
          </w:p>
        </w:tc>
        <w:tc>
          <w:tcPr>
            <w:tcW w:w="74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eastAsia="宋体"/>
                <w:color w:val="auto"/>
                <w:lang w:val="en-US" w:eastAsia="zh-CN"/>
              </w:rPr>
            </w:pPr>
            <w:r>
              <w:rPr>
                <w:rFonts w:hint="eastAsia"/>
                <w:color w:val="auto"/>
                <w:lang w:val="en-US" w:eastAsia="zh-CN"/>
              </w:rPr>
              <w:t>0.83</w:t>
            </w:r>
          </w:p>
        </w:tc>
        <w:tc>
          <w:tcPr>
            <w:tcW w:w="78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eastAsia="宋体"/>
                <w:color w:val="auto"/>
                <w:lang w:val="en-US" w:eastAsia="zh-CN"/>
              </w:rPr>
            </w:pPr>
            <w:r>
              <w:rPr>
                <w:rFonts w:hint="eastAsia"/>
                <w:color w:val="auto"/>
              </w:rPr>
              <w:t>0.</w:t>
            </w:r>
            <w:r>
              <w:rPr>
                <w:rFonts w:hint="eastAsia"/>
                <w:color w:val="auto"/>
                <w:lang w:val="en-US" w:eastAsia="zh-CN"/>
              </w:rPr>
              <w:t>5</w:t>
            </w:r>
          </w:p>
        </w:tc>
        <w:tc>
          <w:tcPr>
            <w:tcW w:w="945"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eastAsia="宋体"/>
                <w:color w:val="auto"/>
                <w:lang w:val="en-US" w:eastAsia="zh-CN"/>
              </w:rPr>
            </w:pPr>
            <w:r>
              <w:rPr>
                <w:rFonts w:hint="eastAsia"/>
                <w:color w:val="auto"/>
                <w:lang w:val="en-US" w:eastAsia="zh-CN"/>
              </w:rPr>
              <w:t>0.83</w:t>
            </w:r>
          </w:p>
        </w:tc>
        <w:tc>
          <w:tcPr>
            <w:tcW w:w="8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default"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pPr>
            <w:r>
              <w:rPr>
                <w:rFonts w:hint="eastAsia" w:cs="Times New Roman"/>
                <w:snapToGrid/>
                <w:color w:val="auto"/>
                <w:spacing w:val="0"/>
                <w:w w:val="100"/>
                <w:kern w:val="2"/>
                <w:position w:val="0"/>
                <w:sz w:val="21"/>
                <w:szCs w:val="21"/>
                <w:u w:val="none" w:color="auto"/>
                <w:shd w:val="clear" w:color="auto" w:fill="auto"/>
                <w:vertAlign w:val="baseline"/>
                <w:lang w:val="en-US" w:eastAsia="zh-CN" w:bidi="ar-SA"/>
              </w:rPr>
              <w:t>0.8</w:t>
            </w:r>
          </w:p>
        </w:tc>
        <w:tc>
          <w:tcPr>
            <w:tcW w:w="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rFonts w:hint="eastAsia"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pPr>
            <w:r>
              <w:rPr>
                <w:rFonts w:hint="eastAsia"/>
                <w:color w:val="auto"/>
                <w:lang w:val="en-US" w:eastAsia="zh-CN"/>
              </w:rPr>
              <w:t>1</w:t>
            </w:r>
          </w:p>
        </w:tc>
        <w:tc>
          <w:tcPr>
            <w:tcW w:w="884"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400" w:lineRule="exact"/>
              <w:ind w:left="0" w:leftChars="0" w:right="0" w:rightChars="0" w:firstLine="0" w:firstLineChars="0"/>
              <w:jc w:val="center"/>
              <w:rPr>
                <w:color w:val="auto"/>
              </w:rPr>
            </w:pPr>
            <w:r>
              <w:rPr>
                <w:rFonts w:hint="eastAsia"/>
                <w:color w:val="auto"/>
                <w:lang w:val="en-US" w:eastAsia="zh-CN"/>
              </w:rPr>
              <w:t>1.68</w:t>
            </w:r>
          </w:p>
        </w:tc>
      </w:tr>
    </w:tbl>
    <w:p>
      <w:pPr>
        <w:ind w:firstLine="420" w:firstLineChars="200"/>
        <w:rPr>
          <w:rFonts w:hint="eastAsia" w:ascii="仿宋" w:eastAsia="仿宋" w:cs="仿宋"/>
          <w:bCs/>
          <w:color w:val="auto"/>
          <w:szCs w:val="21"/>
          <w:lang w:val="zh-CN"/>
        </w:rPr>
      </w:pPr>
      <w:r>
        <w:rPr>
          <w:rFonts w:hint="eastAsia" w:ascii="仿宋" w:eastAsia="仿宋" w:cs="仿宋"/>
          <w:bCs/>
          <w:color w:val="auto"/>
          <w:szCs w:val="21"/>
        </w:rPr>
        <w:t>注：</w:t>
      </w:r>
      <w:r>
        <w:rPr>
          <w:rFonts w:hint="eastAsia" w:ascii="仿宋" w:eastAsia="仿宋" w:cs="仿宋"/>
          <w:bCs/>
          <w:color w:val="auto"/>
          <w:szCs w:val="21"/>
          <w:lang w:val="zh-CN"/>
        </w:rPr>
        <w:t>征收水田</w:t>
      </w:r>
      <w:r>
        <w:rPr>
          <w:rFonts w:hint="eastAsia" w:ascii="仿宋" w:eastAsia="仿宋" w:cs="仿宋"/>
          <w:bCs/>
          <w:color w:val="auto"/>
          <w:szCs w:val="21"/>
        </w:rPr>
        <w:t>不包括</w:t>
      </w:r>
      <w:r>
        <w:rPr>
          <w:rFonts w:hint="eastAsia" w:ascii="仿宋" w:eastAsia="仿宋" w:cs="仿宋"/>
          <w:bCs/>
          <w:color w:val="auto"/>
          <w:szCs w:val="21"/>
          <w:lang w:val="zh-CN"/>
        </w:rPr>
        <w:t>永久基本农田</w:t>
      </w:r>
      <w:r>
        <w:rPr>
          <w:rFonts w:hint="eastAsia" w:ascii="仿宋" w:eastAsia="仿宋" w:cs="仿宋"/>
          <w:color w:val="auto"/>
          <w:szCs w:val="21"/>
        </w:rPr>
        <w:t>；征收经批准的专业菜地和专业鱼（池）塘的，按所在区片水田标准执行；</w:t>
      </w:r>
      <w:r>
        <w:rPr>
          <w:rFonts w:hint="eastAsia" w:ascii="仿宋" w:eastAsia="仿宋" w:cs="仿宋"/>
          <w:bCs/>
          <w:color w:val="auto"/>
          <w:szCs w:val="21"/>
          <w:lang w:val="zh-CN"/>
        </w:rPr>
        <w:t>各建设用地项目征地补偿地类严格按照《土地勘测定界技术报告书》。</w:t>
      </w:r>
    </w:p>
    <w:p>
      <w:pPr>
        <w:spacing w:line="580" w:lineRule="exact"/>
        <w:rPr>
          <w:rFonts w:hint="eastAsia" w:ascii="仿宋" w:hAnsi="仿宋" w:eastAsia="仿宋" w:cs="仿宋"/>
          <w:color w:val="auto"/>
          <w:sz w:val="32"/>
          <w:szCs w:val="32"/>
        </w:rPr>
      </w:pPr>
    </w:p>
    <w:p>
      <w:pPr>
        <w:spacing w:line="580" w:lineRule="exact"/>
        <w:rPr>
          <w:rFonts w:hint="eastAsia" w:ascii="仿宋" w:hAnsi="仿宋" w:eastAsia="仿宋" w:cs="仿宋"/>
          <w:color w:val="auto"/>
          <w:sz w:val="32"/>
          <w:szCs w:val="32"/>
        </w:rPr>
      </w:pPr>
    </w:p>
    <w:p>
      <w:pPr>
        <w:spacing w:line="580" w:lineRule="exact"/>
        <w:rPr>
          <w:rFonts w:hint="eastAsia" w:ascii="仿宋" w:hAnsi="仿宋" w:eastAsia="仿宋" w:cs="仿宋"/>
          <w:color w:val="auto"/>
          <w:sz w:val="32"/>
          <w:szCs w:val="32"/>
        </w:rPr>
      </w:pPr>
    </w:p>
    <w:p>
      <w:pPr>
        <w:spacing w:line="58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p>
    <w:p>
      <w:pPr>
        <w:spacing w:line="560" w:lineRule="exact"/>
        <w:jc w:val="center"/>
        <w:rPr>
          <w:rFonts w:hint="eastAsia" w:ascii="黑体" w:hAnsi="黑体" w:eastAsia="黑体" w:cs="黑体"/>
          <w:bCs/>
          <w:color w:val="auto"/>
          <w:sz w:val="44"/>
          <w:szCs w:val="44"/>
          <w:lang w:val="en-US" w:eastAsia="zh-CN"/>
        </w:rPr>
      </w:pPr>
    </w:p>
    <w:p>
      <w:pPr>
        <w:spacing w:line="560" w:lineRule="exact"/>
        <w:jc w:val="center"/>
        <w:rPr>
          <w:rFonts w:hint="eastAsia" w:ascii="黑体" w:hAnsi="黑体" w:eastAsia="黑体" w:cs="黑体"/>
          <w:color w:val="auto"/>
          <w:sz w:val="44"/>
          <w:szCs w:val="44"/>
        </w:rPr>
      </w:pPr>
      <w:r>
        <w:rPr>
          <w:rFonts w:hint="eastAsia" w:ascii="黑体" w:hAnsi="黑体" w:eastAsia="黑体" w:cs="黑体"/>
          <w:bCs/>
          <w:color w:val="auto"/>
          <w:sz w:val="44"/>
          <w:szCs w:val="44"/>
          <w:lang w:val="en-US" w:eastAsia="zh-CN"/>
        </w:rPr>
        <w:t>新晃县</w:t>
      </w:r>
      <w:r>
        <w:rPr>
          <w:rFonts w:hint="eastAsia" w:ascii="黑体" w:hAnsi="黑体" w:eastAsia="黑体" w:cs="黑体"/>
          <w:color w:val="auto"/>
          <w:sz w:val="44"/>
          <w:szCs w:val="44"/>
        </w:rPr>
        <w:t>征收范围内水田</w:t>
      </w: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rPr>
        <w:t>旱地的青苗补偿标准</w:t>
      </w:r>
    </w:p>
    <w:p>
      <w:pPr>
        <w:spacing w:line="560" w:lineRule="exact"/>
        <w:jc w:val="right"/>
        <w:rPr>
          <w:color w:val="auto"/>
          <w:sz w:val="28"/>
          <w:szCs w:val="28"/>
        </w:rPr>
      </w:pPr>
      <w:r>
        <w:rPr>
          <w:rFonts w:hint="eastAsia"/>
          <w:color w:val="auto"/>
          <w:sz w:val="28"/>
          <w:szCs w:val="28"/>
        </w:rPr>
        <w:t>（单位：元</w:t>
      </w:r>
      <w:r>
        <w:rPr>
          <w:color w:val="auto"/>
          <w:sz w:val="28"/>
          <w:szCs w:val="28"/>
        </w:rPr>
        <w:t>/</w:t>
      </w:r>
      <w:r>
        <w:rPr>
          <w:rFonts w:hint="eastAsia"/>
          <w:color w:val="auto"/>
          <w:sz w:val="28"/>
          <w:szCs w:val="28"/>
        </w:rPr>
        <w:t>亩）</w:t>
      </w:r>
    </w:p>
    <w:tbl>
      <w:tblPr>
        <w:tblStyle w:val="7"/>
        <w:tblW w:w="8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834"/>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atLeast"/>
          <w:jc w:val="center"/>
        </w:trPr>
        <w:tc>
          <w:tcPr>
            <w:tcW w:w="2820" w:type="dxa"/>
            <w:noWrap w:val="0"/>
            <w:vAlign w:val="center"/>
          </w:tcPr>
          <w:p>
            <w:pPr>
              <w:spacing w:line="300" w:lineRule="exact"/>
              <w:rPr>
                <w:color w:val="auto"/>
                <w:sz w:val="24"/>
              </w:rPr>
            </w:pPr>
            <w:r>
              <w:rPr>
                <w:rFonts w:ascii="Calibri" w:hAnsi="Calibri"/>
                <w:color w:val="auto"/>
              </w:rPr>
              <mc:AlternateContent>
                <mc:Choice Requires="wps">
                  <w:drawing>
                    <wp:anchor distT="0" distB="0" distL="114300" distR="114300" simplePos="0" relativeHeight="251661312" behindDoc="0" locked="1" layoutInCell="1" allowOverlap="1">
                      <wp:simplePos x="0" y="0"/>
                      <wp:positionH relativeFrom="column">
                        <wp:posOffset>-34290</wp:posOffset>
                      </wp:positionH>
                      <wp:positionV relativeFrom="paragraph">
                        <wp:posOffset>377825</wp:posOffset>
                      </wp:positionV>
                      <wp:extent cx="1699895" cy="925830"/>
                      <wp:effectExtent l="2540" t="4445" r="12065" b="22225"/>
                      <wp:wrapNone/>
                      <wp:docPr id="2" name="直接连接符 2"/>
                      <wp:cNvGraphicFramePr/>
                      <a:graphic xmlns:a="http://schemas.openxmlformats.org/drawingml/2006/main">
                        <a:graphicData uri="http://schemas.microsoft.com/office/word/2010/wordprocessingShape">
                          <wps:wsp>
                            <wps:cNvCnPr/>
                            <wps:spPr>
                              <a:xfrm>
                                <a:off x="0" y="0"/>
                                <a:ext cx="1699895" cy="92583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29.75pt;height:72.9pt;width:133.85pt;z-index:251661312;mso-width-relative:page;mso-height-relative:page;" filled="f" stroked="t" coordsize="21600,21600" o:gfxdata="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DIdKNcAAAAJAQAA&#10;DwAAAAAAAAABACAAAAAiAAAAZHJzL2Rvd25yZXYueG1sUEsBAhQAFAAAAAgAh07iQFQqBjfhAQAA&#10;mwMAAA4AAAAAAAAAAQAgAAAAJgEAAGRycy9lMm9Eb2MueG1sUEsFBgAAAAAGAAYAWQEAAHkFAAAA&#10;AA==&#10;">
                      <v:fill on="f" focussize="0,0"/>
                      <v:stroke weight="0.5pt" color="#000000" joinstyle="round"/>
                      <v:imagedata o:title=""/>
                      <o:lock v:ext="edit" aspectratio="f"/>
                      <w10:anchorlock/>
                    </v:line>
                  </w:pict>
                </mc:Fallback>
              </mc:AlternateContent>
            </w:r>
            <w:r>
              <w:rPr>
                <w:rFonts w:ascii="Calibri" w:hAnsi="Calibri"/>
                <w:color w:val="auto"/>
              </w:rPr>
              <mc:AlternateContent>
                <mc:Choice Requires="wps">
                  <w:drawing>
                    <wp:anchor distT="0" distB="0" distL="114300" distR="114300" simplePos="0" relativeHeight="251660288" behindDoc="0" locked="1" layoutInCell="1" allowOverlap="1">
                      <wp:simplePos x="0" y="0"/>
                      <wp:positionH relativeFrom="column">
                        <wp:posOffset>865505</wp:posOffset>
                      </wp:positionH>
                      <wp:positionV relativeFrom="paragraph">
                        <wp:posOffset>2540</wp:posOffset>
                      </wp:positionV>
                      <wp:extent cx="819150" cy="1320165"/>
                      <wp:effectExtent l="3810" t="2540" r="15240" b="10795"/>
                      <wp:wrapNone/>
                      <wp:docPr id="3" name="直接连接符 3"/>
                      <wp:cNvGraphicFramePr/>
                      <a:graphic xmlns:a="http://schemas.openxmlformats.org/drawingml/2006/main">
                        <a:graphicData uri="http://schemas.microsoft.com/office/word/2010/wordprocessingShape">
                          <wps:wsp>
                            <wps:cNvCnPr/>
                            <wps:spPr>
                              <a:xfrm>
                                <a:off x="0" y="0"/>
                                <a:ext cx="819150" cy="132016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15pt;margin-top:0.2pt;height:103.95pt;width:64.5pt;z-index:251660288;mso-width-relative:page;mso-height-relative:page;" filled="f" stroked="t" coordsize="21600,21600" o:gfxdata="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JaizfUAAAACAEAAA8AAAAAAAAA&#10;AQAgAAAAIgAAAGRycy9kb3ducmV2LnhtbFBLAQIUABQAAAAIAIdO4kBRHhlt3AEAAJsDAAAOAAAA&#10;AAAAAAEAIAAAACMBAABkcnMvZTJvRG9jLnhtbFBLBQYAAAAABgAGAFkBAABxBQAAAAA=&#10;">
                      <v:fill on="f" focussize="0,0"/>
                      <v:stroke weight="0.5pt" color="#000000" joinstyle="round"/>
                      <v:imagedata o:title=""/>
                      <o:lock v:ext="edit" aspectratio="f"/>
                      <w10:anchorlock/>
                    </v:line>
                  </w:pict>
                </mc:Fallback>
              </mc:AlternateContent>
            </w:r>
            <w:r>
              <w:rPr>
                <w:color w:val="auto"/>
                <w:sz w:val="24"/>
              </w:rPr>
              <w:t xml:space="preserve">   </w:t>
            </w:r>
          </w:p>
          <w:p>
            <w:pPr>
              <w:spacing w:line="300" w:lineRule="exact"/>
              <w:ind w:firstLine="360" w:firstLineChars="150"/>
              <w:rPr>
                <w:color w:val="auto"/>
                <w:sz w:val="24"/>
              </w:rPr>
            </w:pPr>
            <w:r>
              <w:rPr>
                <w:rFonts w:hint="eastAsia"/>
                <w:color w:val="auto"/>
                <w:sz w:val="24"/>
              </w:rPr>
              <w:t>补</w:t>
            </w: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地</w:t>
            </w:r>
          </w:p>
          <w:p>
            <w:pPr>
              <w:spacing w:line="300" w:lineRule="exact"/>
              <w:ind w:firstLine="720" w:firstLineChars="300"/>
              <w:rPr>
                <w:color w:val="auto"/>
                <w:sz w:val="24"/>
              </w:rPr>
            </w:pPr>
            <w:r>
              <w:rPr>
                <w:rFonts w:hint="eastAsia"/>
                <w:color w:val="auto"/>
                <w:sz w:val="24"/>
              </w:rPr>
              <w:t>偿</w:t>
            </w: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类</w:t>
            </w:r>
          </w:p>
          <w:p>
            <w:pPr>
              <w:spacing w:line="300" w:lineRule="exact"/>
              <w:ind w:firstLine="600" w:firstLineChars="250"/>
              <w:rPr>
                <w:color w:val="auto"/>
                <w:sz w:val="24"/>
              </w:rPr>
            </w:pPr>
            <w:r>
              <w:rPr>
                <w:color w:val="auto"/>
                <w:sz w:val="24"/>
              </w:rPr>
              <w:t xml:space="preserve">    </w:t>
            </w:r>
            <w:r>
              <w:rPr>
                <w:rFonts w:hint="eastAsia"/>
                <w:color w:val="auto"/>
                <w:sz w:val="24"/>
              </w:rPr>
              <w:t>标</w:t>
            </w:r>
          </w:p>
          <w:p>
            <w:pPr>
              <w:spacing w:line="300" w:lineRule="exact"/>
              <w:ind w:firstLine="240" w:firstLineChars="100"/>
              <w:rPr>
                <w:color w:val="auto"/>
                <w:sz w:val="24"/>
              </w:rPr>
            </w:pPr>
            <w:r>
              <w:rPr>
                <w:color w:val="auto"/>
                <w:sz w:val="24"/>
              </w:rPr>
              <w:t xml:space="preserve">      </w:t>
            </w:r>
            <w:r>
              <w:rPr>
                <w:rFonts w:hint="eastAsia"/>
                <w:color w:val="auto"/>
                <w:sz w:val="24"/>
              </w:rPr>
              <w:t xml:space="preserve">  </w:t>
            </w:r>
            <w:r>
              <w:rPr>
                <w:color w:val="auto"/>
                <w:sz w:val="24"/>
              </w:rPr>
              <w:t xml:space="preserve">   </w:t>
            </w:r>
            <w:r>
              <w:rPr>
                <w:rFonts w:hint="eastAsia"/>
                <w:color w:val="auto"/>
                <w:sz w:val="24"/>
              </w:rPr>
              <w:t>准</w:t>
            </w:r>
          </w:p>
          <w:p>
            <w:pPr>
              <w:spacing w:line="300" w:lineRule="exact"/>
              <w:ind w:firstLine="600" w:firstLineChars="250"/>
              <w:rPr>
                <w:color w:val="auto"/>
                <w:sz w:val="24"/>
              </w:rPr>
            </w:pPr>
            <w:r>
              <w:rPr>
                <w:rFonts w:hint="eastAsia"/>
                <w:color w:val="auto"/>
                <w:sz w:val="24"/>
                <w:lang w:val="en-US" w:eastAsia="zh-CN"/>
              </w:rPr>
              <w:t>范围</w:t>
            </w:r>
            <w:r>
              <w:rPr>
                <w:color w:val="auto"/>
                <w:sz w:val="24"/>
              </w:rPr>
              <w:t xml:space="preserve">              </w:t>
            </w:r>
          </w:p>
        </w:tc>
        <w:tc>
          <w:tcPr>
            <w:tcW w:w="1834" w:type="dxa"/>
            <w:noWrap w:val="0"/>
            <w:vAlign w:val="center"/>
          </w:tcPr>
          <w:p>
            <w:pPr>
              <w:spacing w:line="560" w:lineRule="exact"/>
              <w:jc w:val="center"/>
              <w:rPr>
                <w:color w:val="auto"/>
                <w:sz w:val="24"/>
              </w:rPr>
            </w:pPr>
            <w:r>
              <w:rPr>
                <w:rFonts w:hint="eastAsia"/>
                <w:color w:val="auto"/>
                <w:sz w:val="24"/>
              </w:rPr>
              <w:t>水田</w:t>
            </w:r>
          </w:p>
        </w:tc>
        <w:tc>
          <w:tcPr>
            <w:tcW w:w="3645" w:type="dxa"/>
            <w:noWrap w:val="0"/>
            <w:vAlign w:val="center"/>
          </w:tcPr>
          <w:p>
            <w:pPr>
              <w:spacing w:line="560" w:lineRule="exact"/>
              <w:jc w:val="center"/>
              <w:rPr>
                <w:color w:val="auto"/>
                <w:sz w:val="24"/>
              </w:rPr>
            </w:pPr>
            <w:r>
              <w:rPr>
                <w:rFonts w:hint="eastAsia"/>
                <w:color w:val="auto"/>
                <w:sz w:val="24"/>
              </w:rPr>
              <w:t>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820" w:type="dxa"/>
            <w:noWrap w:val="0"/>
            <w:vAlign w:val="center"/>
          </w:tcPr>
          <w:p>
            <w:pPr>
              <w:spacing w:line="400" w:lineRule="exact"/>
              <w:ind w:left="0" w:leftChars="0" w:right="0" w:rightChars="0" w:firstLine="0" w:firstLineChars="0"/>
              <w:jc w:val="center"/>
              <w:rPr>
                <w:rFonts w:hint="default" w:eastAsia="宋体"/>
                <w:color w:val="auto"/>
                <w:sz w:val="24"/>
                <w:lang w:val="en-US" w:eastAsia="zh-CN"/>
              </w:rPr>
            </w:pPr>
            <w:r>
              <w:rPr>
                <w:rFonts w:hint="eastAsia"/>
                <w:color w:val="auto"/>
                <w:sz w:val="24"/>
                <w:lang w:val="en-US" w:eastAsia="zh-CN"/>
              </w:rPr>
              <w:t>城市规划区范围内</w:t>
            </w:r>
          </w:p>
        </w:tc>
        <w:tc>
          <w:tcPr>
            <w:tcW w:w="1834" w:type="dxa"/>
            <w:noWrap w:val="0"/>
            <w:vAlign w:val="center"/>
          </w:tcPr>
          <w:p>
            <w:pPr>
              <w:spacing w:line="400" w:lineRule="exact"/>
              <w:ind w:left="0" w:leftChars="0" w:right="0" w:rightChars="0" w:firstLine="0" w:firstLineChars="0"/>
              <w:jc w:val="center"/>
              <w:rPr>
                <w:rFonts w:ascii="Calibri" w:hAnsi="Calibri" w:eastAsia="宋体" w:cs="Times New Roman"/>
                <w:snapToGrid/>
                <w:color w:val="auto"/>
                <w:spacing w:val="0"/>
                <w:w w:val="100"/>
                <w:kern w:val="2"/>
                <w:position w:val="0"/>
                <w:sz w:val="24"/>
                <w:szCs w:val="21"/>
                <w:u w:val="none" w:color="auto"/>
                <w:shd w:val="clear" w:color="auto" w:fill="auto"/>
                <w:vertAlign w:val="baseline"/>
                <w:lang w:val="en-US" w:eastAsia="zh-CN" w:bidi="ar-SA"/>
              </w:rPr>
            </w:pPr>
            <w:r>
              <w:rPr>
                <w:color w:val="auto"/>
                <w:sz w:val="24"/>
              </w:rPr>
              <w:t>1500</w:t>
            </w:r>
          </w:p>
        </w:tc>
        <w:tc>
          <w:tcPr>
            <w:tcW w:w="3645" w:type="dxa"/>
            <w:noWrap w:val="0"/>
            <w:vAlign w:val="center"/>
          </w:tcPr>
          <w:p>
            <w:pPr>
              <w:spacing w:line="400" w:lineRule="exact"/>
              <w:ind w:left="0" w:leftChars="0" w:right="0" w:rightChars="0" w:firstLine="0" w:firstLineChars="0"/>
              <w:jc w:val="center"/>
              <w:rPr>
                <w:rFonts w:ascii="Calibri" w:hAnsi="Calibri" w:eastAsia="宋体" w:cs="Times New Roman"/>
                <w:snapToGrid/>
                <w:color w:val="auto"/>
                <w:spacing w:val="0"/>
                <w:w w:val="100"/>
                <w:kern w:val="2"/>
                <w:position w:val="0"/>
                <w:sz w:val="24"/>
                <w:szCs w:val="21"/>
                <w:u w:val="none" w:color="auto"/>
                <w:shd w:val="clear" w:color="auto" w:fill="auto"/>
                <w:vertAlign w:val="baseline"/>
                <w:lang w:val="en-US" w:eastAsia="zh-CN" w:bidi="ar-SA"/>
              </w:rPr>
            </w:pPr>
            <w:r>
              <w:rPr>
                <w:color w:val="auto"/>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820" w:type="dxa"/>
            <w:noWrap w:val="0"/>
            <w:vAlign w:val="center"/>
          </w:tcPr>
          <w:p>
            <w:pPr>
              <w:spacing w:line="400" w:lineRule="exact"/>
              <w:ind w:left="0" w:leftChars="0" w:right="0" w:rightChars="0" w:firstLine="0" w:firstLineChars="0"/>
              <w:jc w:val="center"/>
              <w:rPr>
                <w:rFonts w:hint="default" w:ascii="Calibri" w:hAnsi="Calibri" w:eastAsia="宋体" w:cs="Times New Roman"/>
                <w:snapToGrid/>
                <w:color w:val="auto"/>
                <w:spacing w:val="0"/>
                <w:w w:val="100"/>
                <w:kern w:val="2"/>
                <w:position w:val="0"/>
                <w:sz w:val="24"/>
                <w:szCs w:val="21"/>
                <w:u w:val="none" w:color="auto"/>
                <w:shd w:val="clear" w:color="auto" w:fill="auto"/>
                <w:vertAlign w:val="baseline"/>
                <w:lang w:val="en-US" w:eastAsia="zh-CN" w:bidi="ar-SA"/>
              </w:rPr>
            </w:pPr>
            <w:r>
              <w:rPr>
                <w:rFonts w:hint="eastAsia"/>
                <w:color w:val="auto"/>
                <w:sz w:val="24"/>
                <w:lang w:val="en-US" w:eastAsia="zh-CN"/>
              </w:rPr>
              <w:t>城市规划区范围外</w:t>
            </w:r>
          </w:p>
        </w:tc>
        <w:tc>
          <w:tcPr>
            <w:tcW w:w="1834" w:type="dxa"/>
            <w:noWrap w:val="0"/>
            <w:vAlign w:val="center"/>
          </w:tcPr>
          <w:p>
            <w:pPr>
              <w:spacing w:line="400" w:lineRule="exact"/>
              <w:ind w:left="0" w:leftChars="0" w:right="0" w:rightChars="0" w:firstLine="0" w:firstLineChars="0"/>
              <w:jc w:val="center"/>
              <w:rPr>
                <w:rFonts w:ascii="Calibri" w:hAnsi="Calibri" w:eastAsia="宋体" w:cs="Times New Roman"/>
                <w:snapToGrid/>
                <w:color w:val="auto"/>
                <w:spacing w:val="0"/>
                <w:w w:val="100"/>
                <w:kern w:val="2"/>
                <w:position w:val="0"/>
                <w:sz w:val="24"/>
                <w:szCs w:val="21"/>
                <w:u w:val="none" w:color="auto"/>
                <w:shd w:val="clear" w:color="auto" w:fill="auto"/>
                <w:vertAlign w:val="baseline"/>
                <w:lang w:val="en-US" w:eastAsia="zh-CN" w:bidi="ar-SA"/>
              </w:rPr>
            </w:pPr>
            <w:r>
              <w:rPr>
                <w:color w:val="auto"/>
                <w:sz w:val="24"/>
              </w:rPr>
              <w:t>1500</w:t>
            </w:r>
          </w:p>
        </w:tc>
        <w:tc>
          <w:tcPr>
            <w:tcW w:w="3645" w:type="dxa"/>
            <w:noWrap w:val="0"/>
            <w:vAlign w:val="center"/>
          </w:tcPr>
          <w:p>
            <w:pPr>
              <w:spacing w:line="400" w:lineRule="exact"/>
              <w:ind w:left="0" w:leftChars="0" w:right="0" w:rightChars="0" w:firstLine="0" w:firstLineChars="0"/>
              <w:jc w:val="center"/>
              <w:rPr>
                <w:rFonts w:ascii="Calibri" w:hAnsi="Calibri" w:eastAsia="宋体" w:cs="Times New Roman"/>
                <w:snapToGrid/>
                <w:color w:val="auto"/>
                <w:spacing w:val="0"/>
                <w:w w:val="100"/>
                <w:kern w:val="2"/>
                <w:position w:val="0"/>
                <w:sz w:val="24"/>
                <w:szCs w:val="21"/>
                <w:u w:val="none" w:color="auto"/>
                <w:shd w:val="clear" w:color="auto" w:fill="auto"/>
                <w:vertAlign w:val="baseline"/>
                <w:lang w:val="en-US" w:eastAsia="zh-CN" w:bidi="ar-SA"/>
              </w:rPr>
            </w:pPr>
            <w:r>
              <w:rPr>
                <w:color w:val="auto"/>
                <w:sz w:val="24"/>
              </w:rPr>
              <w:t>1000</w:t>
            </w:r>
          </w:p>
        </w:tc>
      </w:tr>
    </w:tbl>
    <w:p>
      <w:pPr>
        <w:shd w:val="clear" w:color="auto" w:fill="auto"/>
        <w:spacing w:line="400" w:lineRule="exact"/>
        <w:ind w:left="0" w:leftChars="0" w:right="0" w:rightChars="0" w:firstLine="0" w:firstLineChars="0"/>
        <w:jc w:val="both"/>
        <w:rPr>
          <w:rFonts w:hint="eastAsia"/>
          <w:color w:val="auto"/>
          <w:sz w:val="24"/>
          <w:lang w:val="en-US" w:eastAsia="zh-CN"/>
        </w:rPr>
      </w:pPr>
    </w:p>
    <w:p>
      <w:pPr>
        <w:shd w:val="clear" w:color="auto" w:fill="auto"/>
        <w:spacing w:line="400" w:lineRule="exact"/>
        <w:ind w:left="0" w:leftChars="0" w:right="0" w:rightChars="0" w:firstLine="240" w:firstLineChars="100"/>
        <w:jc w:val="both"/>
        <w:rPr>
          <w:rFonts w:hint="default" w:eastAsia="宋体"/>
          <w:color w:val="auto"/>
          <w:sz w:val="24"/>
          <w:lang w:val="en-US" w:eastAsia="zh-CN"/>
        </w:rPr>
      </w:pPr>
      <w:r>
        <w:rPr>
          <w:rFonts w:hint="eastAsia"/>
          <w:color w:val="auto"/>
          <w:sz w:val="24"/>
          <w:lang w:val="en-US" w:eastAsia="zh-CN"/>
        </w:rPr>
        <w:t>注：经批准的专业菜地和专业鱼（池）塘的青苗补偿标准参照水田苗补偿标准执行；用于养殖水产的山塘水库的青苗补偿标准参照邻近</w:t>
      </w:r>
      <w:r>
        <w:rPr>
          <w:rFonts w:hint="eastAsia"/>
          <w:color w:val="auto"/>
          <w:sz w:val="24"/>
        </w:rPr>
        <w:t>旱地</w:t>
      </w:r>
      <w:r>
        <w:rPr>
          <w:rFonts w:hint="eastAsia"/>
          <w:color w:val="auto"/>
          <w:sz w:val="24"/>
          <w:lang w:val="en-US" w:eastAsia="zh-CN"/>
        </w:rPr>
        <w:t>补偿标准。</w:t>
      </w: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方正黑体简体" w:eastAsia="方正黑体简体" w:cs="仿宋"/>
          <w:color w:val="auto"/>
          <w:sz w:val="32"/>
          <w:szCs w:val="32"/>
        </w:rPr>
      </w:pPr>
    </w:p>
    <w:p>
      <w:pPr>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4</w:t>
      </w:r>
    </w:p>
    <w:p>
      <w:pPr>
        <w:spacing w:line="660" w:lineRule="exact"/>
        <w:jc w:val="center"/>
        <w:rPr>
          <w:rFonts w:hint="eastAsia" w:ascii="黑体" w:hAnsi="黑体" w:eastAsia="黑体" w:cs="黑体"/>
          <w:bCs/>
          <w:color w:val="auto"/>
          <w:sz w:val="44"/>
          <w:szCs w:val="44"/>
        </w:rPr>
      </w:pPr>
      <w:r>
        <w:rPr>
          <w:rFonts w:hint="eastAsia" w:ascii="黑体" w:hAnsi="黑体" w:eastAsia="黑体" w:cs="黑体"/>
          <w:bCs/>
          <w:color w:val="auto"/>
          <w:sz w:val="44"/>
          <w:szCs w:val="44"/>
          <w:lang w:val="en-US" w:eastAsia="zh-CN"/>
        </w:rPr>
        <w:t>新晃县</w:t>
      </w:r>
      <w:r>
        <w:rPr>
          <w:rFonts w:hint="eastAsia" w:ascii="黑体" w:hAnsi="黑体" w:eastAsia="黑体" w:cs="黑体"/>
          <w:bCs/>
          <w:color w:val="auto"/>
          <w:sz w:val="44"/>
          <w:szCs w:val="44"/>
        </w:rPr>
        <w:t>征收范围内成片用材林、果树、</w:t>
      </w:r>
    </w:p>
    <w:p>
      <w:pPr>
        <w:spacing w:line="660" w:lineRule="exact"/>
        <w:jc w:val="center"/>
        <w:rPr>
          <w:rFonts w:hint="eastAsia" w:ascii="黑体" w:hAnsi="黑体" w:eastAsia="黑体" w:cs="黑体"/>
          <w:bCs/>
          <w:color w:val="auto"/>
          <w:sz w:val="44"/>
          <w:szCs w:val="44"/>
        </w:rPr>
      </w:pPr>
      <w:r>
        <w:rPr>
          <w:rFonts w:hint="eastAsia" w:ascii="黑体" w:hAnsi="黑体" w:eastAsia="黑体" w:cs="黑体"/>
          <w:bCs/>
          <w:color w:val="auto"/>
          <w:sz w:val="44"/>
          <w:szCs w:val="44"/>
        </w:rPr>
        <w:t>经济林的青苗补偿标准</w:t>
      </w:r>
    </w:p>
    <w:p>
      <w:pPr>
        <w:rPr>
          <w:b/>
          <w:bCs/>
          <w:color w:val="auto"/>
          <w:sz w:val="24"/>
        </w:rPr>
      </w:pPr>
    </w:p>
    <w:p>
      <w:pPr>
        <w:rPr>
          <w:bCs/>
          <w:color w:val="auto"/>
          <w:sz w:val="24"/>
        </w:rPr>
      </w:pPr>
      <w:r>
        <w:rPr>
          <w:rFonts w:hint="eastAsia"/>
          <w:bCs/>
          <w:color w:val="auto"/>
          <w:sz w:val="24"/>
        </w:rPr>
        <w:t>征收范围内成片用材林青苗补偿标准：</w:t>
      </w:r>
      <w:r>
        <w:rPr>
          <w:bCs/>
          <w:color w:val="auto"/>
          <w:sz w:val="24"/>
        </w:rPr>
        <w:t xml:space="preserve"> </w:t>
      </w:r>
    </w:p>
    <w:p>
      <w:pPr>
        <w:ind w:firstLine="4320" w:firstLineChars="1800"/>
        <w:rPr>
          <w:bCs/>
          <w:color w:val="auto"/>
          <w:sz w:val="24"/>
        </w:rPr>
      </w:pPr>
      <w:r>
        <w:rPr>
          <w:bCs/>
          <w:color w:val="auto"/>
          <w:sz w:val="24"/>
        </w:rPr>
        <w:t xml:space="preserve">      </w:t>
      </w:r>
      <w:r>
        <w:rPr>
          <w:rFonts w:hint="eastAsia"/>
          <w:bCs/>
          <w:color w:val="auto"/>
          <w:sz w:val="24"/>
        </w:rPr>
        <w:t>　　　</w:t>
      </w:r>
      <w:r>
        <w:rPr>
          <w:bCs/>
          <w:color w:val="auto"/>
          <w:sz w:val="24"/>
        </w:rPr>
        <w:t xml:space="preserve">      </w:t>
      </w:r>
      <w:r>
        <w:rPr>
          <w:rFonts w:hint="eastAsia"/>
          <w:bCs/>
          <w:color w:val="auto"/>
          <w:sz w:val="24"/>
        </w:rPr>
        <w:t xml:space="preserve">    </w:t>
      </w:r>
      <w:r>
        <w:rPr>
          <w:bCs/>
          <w:color w:val="auto"/>
          <w:sz w:val="24"/>
        </w:rPr>
        <w:t xml:space="preserve">    </w:t>
      </w:r>
      <w:r>
        <w:rPr>
          <w:rFonts w:hint="eastAsia"/>
          <w:color w:val="auto"/>
          <w:kern w:val="0"/>
          <w:sz w:val="24"/>
        </w:rPr>
        <w:t>单位：元／亩</w:t>
      </w:r>
    </w:p>
    <w:tbl>
      <w:tblPr>
        <w:tblStyle w:val="7"/>
        <w:tblW w:w="941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2153"/>
        <w:gridCol w:w="1145"/>
        <w:gridCol w:w="1145"/>
        <w:gridCol w:w="1146"/>
        <w:gridCol w:w="38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1380" w:hRule="atLeas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bCs/>
                <w:color w:val="auto"/>
                <w:kern w:val="0"/>
                <w:sz w:val="24"/>
              </w:rPr>
            </w:pPr>
            <w:r>
              <w:rPr>
                <w:rFonts w:ascii="Calibri" w:hAnsi="Calibri"/>
                <w:color w:val="auto"/>
              </w:rPr>
              <mc:AlternateContent>
                <mc:Choice Requires="wps">
                  <w:drawing>
                    <wp:anchor distT="0" distB="0" distL="114300" distR="114300" simplePos="0" relativeHeight="251663360" behindDoc="0" locked="0" layoutInCell="1" allowOverlap="1">
                      <wp:simplePos x="0" y="0"/>
                      <wp:positionH relativeFrom="column">
                        <wp:posOffset>631190</wp:posOffset>
                      </wp:positionH>
                      <wp:positionV relativeFrom="paragraph">
                        <wp:posOffset>1270</wp:posOffset>
                      </wp:positionV>
                      <wp:extent cx="676910" cy="894715"/>
                      <wp:effectExtent l="3810" t="3175" r="5080" b="16510"/>
                      <wp:wrapNone/>
                      <wp:docPr id="6" name="直接连接符 6"/>
                      <wp:cNvGraphicFramePr/>
                      <a:graphic xmlns:a="http://schemas.openxmlformats.org/drawingml/2006/main">
                        <a:graphicData uri="http://schemas.microsoft.com/office/word/2010/wordprocessingShape">
                          <wps:wsp>
                            <wps:cNvCnPr/>
                            <wps:spPr>
                              <a:xfrm>
                                <a:off x="0" y="0"/>
                                <a:ext cx="676910" cy="8947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7pt;margin-top:0.1pt;height:70.45pt;width:53.3pt;z-index:251663360;mso-width-relative:page;mso-height-relative:page;" filled="f" stroked="t" coordsize="21600,21600" o:gfxdata="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tnKtvVAAAABwEAAA8AAAAA&#10;AAAAAQAgAAAAIgAAAGRycy9kb3ducmV2LnhtbFBLAQIUABQAAAAIAIdO4kARtA553gEAAJoDAAAO&#10;AAAAAAAAAAEAIAAAACQBAABkcnMvZTJvRG9jLnhtbFBLBQYAAAAABgAGAFkBAAB0BQAAAAA=&#10;">
                      <v:fill on="f" focussize="0,0"/>
                      <v:stroke color="#000000" joinstyle="round"/>
                      <v:imagedata o:title=""/>
                      <o:lock v:ext="edit" aspectratio="f"/>
                    </v:line>
                  </w:pict>
                </mc:Fallback>
              </mc:AlternateContent>
            </w:r>
            <w:r>
              <w:rPr>
                <w:rFonts w:eastAsia="仿宋_GB2312"/>
                <w:b/>
                <w:bCs/>
                <w:color w:val="auto"/>
                <w:kern w:val="0"/>
                <w:sz w:val="24"/>
              </w:rPr>
              <w:t xml:space="preserve">  </w:t>
            </w:r>
            <w:r>
              <w:rPr>
                <w:rFonts w:hint="eastAsia" w:ascii="宋体"/>
                <w:bCs/>
                <w:color w:val="auto"/>
                <w:kern w:val="0"/>
                <w:sz w:val="24"/>
              </w:rPr>
              <w:t>补        生</w:t>
            </w:r>
          </w:p>
          <w:p>
            <w:pPr>
              <w:spacing w:line="240" w:lineRule="exact"/>
              <w:rPr>
                <w:rFonts w:hint="eastAsia" w:ascii="宋体"/>
                <w:bCs/>
                <w:color w:val="auto"/>
                <w:kern w:val="0"/>
                <w:sz w:val="24"/>
              </w:rPr>
            </w:pPr>
            <w:r>
              <w:rPr>
                <w:rFonts w:hint="eastAsia" w:ascii="宋体"/>
                <w:bCs/>
                <w:color w:val="auto"/>
                <w:kern w:val="0"/>
                <w:sz w:val="24"/>
              </w:rPr>
              <w:t xml:space="preserve">    偿       长</w:t>
            </w:r>
          </w:p>
          <w:p>
            <w:pPr>
              <w:spacing w:line="240" w:lineRule="exact"/>
              <w:rPr>
                <w:rFonts w:hint="eastAsia" w:ascii="宋体"/>
                <w:bCs/>
                <w:color w:val="auto"/>
                <w:kern w:val="0"/>
                <w:sz w:val="24"/>
              </w:rPr>
            </w:pPr>
            <w:r>
              <w:rPr>
                <w:rFonts w:ascii="Calibri" w:hAnsi="Calibri"/>
                <w:color w:val="auto"/>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-4445</wp:posOffset>
                      </wp:positionV>
                      <wp:extent cx="1316990" cy="474980"/>
                      <wp:effectExtent l="1905" t="4445" r="14605" b="15875"/>
                      <wp:wrapNone/>
                      <wp:docPr id="5" name="直接连接符 5"/>
                      <wp:cNvGraphicFramePr/>
                      <a:graphic xmlns:a="http://schemas.openxmlformats.org/drawingml/2006/main">
                        <a:graphicData uri="http://schemas.microsoft.com/office/word/2010/wordprocessingShape">
                          <wps:wsp>
                            <wps:cNvCnPr/>
                            <wps:spPr>
                              <a:xfrm>
                                <a:off x="0" y="0"/>
                                <a:ext cx="1316990" cy="4749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0.35pt;height:37.4pt;width:103.7pt;z-index:251662336;mso-width-relative:page;mso-height-relative:page;" filled="f" stroked="t" coordsize="21600,21600" o:gfxdata="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lUGl1QAAAAcBAAAP&#10;AAAAAAAAAAEAIAAAACIAAABkcnMvZG93bnJldi54bWxQSwECFAAUAAAACACHTuJA34csHuIBAACb&#10;AwAADgAAAAAAAAABACAAAAAkAQAAZHJzL2Uyb0RvYy54bWxQSwUGAAAAAAYABgBZAQAAeAUAAAAA&#10;">
                      <v:fill on="f" focussize="0,0"/>
                      <v:stroke color="#000000" joinstyle="round"/>
                      <v:imagedata o:title=""/>
                      <o:lock v:ext="edit" aspectratio="f"/>
                    </v:line>
                  </w:pict>
                </mc:Fallback>
              </mc:AlternateContent>
            </w:r>
            <w:r>
              <w:rPr>
                <w:rFonts w:hint="eastAsia" w:ascii="宋体"/>
                <w:bCs/>
                <w:color w:val="auto"/>
                <w:kern w:val="0"/>
                <w:sz w:val="24"/>
              </w:rPr>
              <w:t xml:space="preserve">       标     期</w:t>
            </w:r>
          </w:p>
          <w:p>
            <w:pPr>
              <w:spacing w:line="240" w:lineRule="exact"/>
              <w:rPr>
                <w:rFonts w:hint="eastAsia" w:ascii="宋体"/>
                <w:bCs/>
                <w:color w:val="auto"/>
                <w:kern w:val="0"/>
                <w:sz w:val="24"/>
              </w:rPr>
            </w:pPr>
            <w:r>
              <w:rPr>
                <w:rFonts w:hint="eastAsia" w:ascii="宋体"/>
                <w:bCs/>
                <w:color w:val="auto"/>
                <w:kern w:val="0"/>
                <w:sz w:val="24"/>
              </w:rPr>
              <w:t xml:space="preserve">          准</w:t>
            </w:r>
          </w:p>
          <w:p>
            <w:pPr>
              <w:spacing w:line="240" w:lineRule="exact"/>
              <w:ind w:firstLine="120" w:firstLineChars="50"/>
              <w:rPr>
                <w:rFonts w:hint="eastAsia" w:ascii="宋体"/>
                <w:bCs/>
                <w:color w:val="auto"/>
                <w:kern w:val="0"/>
                <w:sz w:val="24"/>
              </w:rPr>
            </w:pPr>
            <w:r>
              <w:rPr>
                <w:rFonts w:hint="eastAsia" w:ascii="宋体"/>
                <w:bCs/>
                <w:color w:val="auto"/>
                <w:kern w:val="0"/>
                <w:sz w:val="24"/>
              </w:rPr>
              <w:t>种类</w:t>
            </w:r>
          </w:p>
        </w:tc>
        <w:tc>
          <w:tcPr>
            <w:tcW w:w="1145" w:type="dxa"/>
            <w:tcBorders>
              <w:top w:val="single" w:color="auto" w:sz="4" w:space="0"/>
              <w:left w:val="nil"/>
              <w:bottom w:val="single" w:color="auto" w:sz="4" w:space="0"/>
              <w:right w:val="single" w:color="auto" w:sz="4" w:space="0"/>
            </w:tcBorders>
            <w:noWrap w:val="0"/>
            <w:vAlign w:val="center"/>
          </w:tcPr>
          <w:p>
            <w:pPr>
              <w:spacing w:line="240" w:lineRule="exact"/>
              <w:jc w:val="center"/>
              <w:rPr>
                <w:bCs/>
                <w:color w:val="auto"/>
                <w:sz w:val="24"/>
              </w:rPr>
            </w:pPr>
            <w:r>
              <w:rPr>
                <w:rFonts w:hint="eastAsia"/>
                <w:bCs/>
                <w:color w:val="auto"/>
                <w:sz w:val="24"/>
              </w:rPr>
              <w:t>苗高</w:t>
            </w:r>
            <w:r>
              <w:rPr>
                <w:bCs/>
                <w:color w:val="auto"/>
                <w:sz w:val="24"/>
              </w:rPr>
              <w:t>3</w:t>
            </w:r>
            <w:r>
              <w:rPr>
                <w:rFonts w:hint="eastAsia"/>
                <w:bCs/>
                <w:color w:val="auto"/>
                <w:sz w:val="24"/>
              </w:rPr>
              <w:t>米以下</w:t>
            </w:r>
          </w:p>
        </w:tc>
        <w:tc>
          <w:tcPr>
            <w:tcW w:w="1145" w:type="dxa"/>
            <w:tcBorders>
              <w:top w:val="single" w:color="auto" w:sz="4" w:space="0"/>
              <w:left w:val="nil"/>
              <w:bottom w:val="single" w:color="auto" w:sz="4" w:space="0"/>
              <w:right w:val="single" w:color="auto" w:sz="4" w:space="0"/>
            </w:tcBorders>
            <w:noWrap w:val="0"/>
            <w:vAlign w:val="center"/>
          </w:tcPr>
          <w:p>
            <w:pPr>
              <w:spacing w:line="240" w:lineRule="exact"/>
              <w:jc w:val="center"/>
              <w:rPr>
                <w:bCs/>
                <w:color w:val="auto"/>
                <w:sz w:val="24"/>
              </w:rPr>
            </w:pPr>
            <w:r>
              <w:rPr>
                <w:rFonts w:hint="eastAsia"/>
                <w:bCs/>
                <w:color w:val="auto"/>
                <w:sz w:val="24"/>
              </w:rPr>
              <w:t>胸径</w:t>
            </w:r>
            <w:r>
              <w:rPr>
                <w:bCs/>
                <w:color w:val="auto"/>
                <w:sz w:val="24"/>
              </w:rPr>
              <w:t>6-12</w:t>
            </w:r>
            <w:r>
              <w:rPr>
                <w:rFonts w:hint="eastAsia"/>
                <w:bCs/>
                <w:color w:val="auto"/>
                <w:sz w:val="24"/>
              </w:rPr>
              <w:t>厘米以内</w:t>
            </w:r>
          </w:p>
        </w:tc>
        <w:tc>
          <w:tcPr>
            <w:tcW w:w="1146" w:type="dxa"/>
            <w:tcBorders>
              <w:top w:val="single" w:color="auto" w:sz="4" w:space="0"/>
              <w:left w:val="nil"/>
              <w:bottom w:val="single" w:color="auto" w:sz="4" w:space="0"/>
              <w:right w:val="single" w:color="auto" w:sz="4" w:space="0"/>
            </w:tcBorders>
            <w:noWrap w:val="0"/>
            <w:vAlign w:val="center"/>
          </w:tcPr>
          <w:p>
            <w:pPr>
              <w:spacing w:line="240" w:lineRule="exact"/>
              <w:jc w:val="center"/>
              <w:rPr>
                <w:bCs/>
                <w:color w:val="auto"/>
                <w:sz w:val="24"/>
              </w:rPr>
            </w:pPr>
            <w:r>
              <w:rPr>
                <w:rFonts w:hint="eastAsia"/>
                <w:bCs/>
                <w:color w:val="auto"/>
                <w:sz w:val="24"/>
              </w:rPr>
              <w:t>胸径</w:t>
            </w:r>
            <w:r>
              <w:rPr>
                <w:bCs/>
                <w:color w:val="auto"/>
                <w:sz w:val="24"/>
              </w:rPr>
              <w:t>14</w:t>
            </w:r>
            <w:r>
              <w:rPr>
                <w:rFonts w:hint="eastAsia"/>
                <w:bCs/>
                <w:color w:val="auto"/>
                <w:sz w:val="24"/>
              </w:rPr>
              <w:t>厘米以上</w:t>
            </w:r>
          </w:p>
        </w:tc>
        <w:tc>
          <w:tcPr>
            <w:tcW w:w="3821" w:type="dxa"/>
            <w:tcBorders>
              <w:top w:val="single" w:color="auto" w:sz="4" w:space="0"/>
              <w:left w:val="nil"/>
              <w:bottom w:val="single" w:color="auto" w:sz="4" w:space="0"/>
              <w:right w:val="single" w:color="auto" w:sz="4" w:space="0"/>
            </w:tcBorders>
            <w:noWrap w:val="0"/>
            <w:vAlign w:val="center"/>
          </w:tcPr>
          <w:p>
            <w:pPr>
              <w:spacing w:line="240" w:lineRule="exact"/>
              <w:jc w:val="center"/>
              <w:rPr>
                <w:bCs/>
                <w:color w:val="auto"/>
                <w:sz w:val="24"/>
              </w:rPr>
            </w:pPr>
            <w:r>
              <w:rPr>
                <w:rFonts w:hint="eastAsia"/>
                <w:bCs/>
                <w:color w:val="auto"/>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51" w:hRule="exac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马尾松、杉树、国外松等</w:t>
            </w:r>
          </w:p>
        </w:tc>
        <w:tc>
          <w:tcPr>
            <w:tcW w:w="1145"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sz w:val="24"/>
              </w:rPr>
            </w:pPr>
            <w:r>
              <w:rPr>
                <w:color w:val="auto"/>
                <w:sz w:val="24"/>
              </w:rPr>
              <w:t>2000</w:t>
            </w:r>
          </w:p>
        </w:tc>
        <w:tc>
          <w:tcPr>
            <w:tcW w:w="1145"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sz w:val="24"/>
              </w:rPr>
            </w:pPr>
            <w:r>
              <w:rPr>
                <w:color w:val="auto"/>
                <w:sz w:val="24"/>
              </w:rPr>
              <w:t>3000</w:t>
            </w:r>
          </w:p>
        </w:tc>
        <w:tc>
          <w:tcPr>
            <w:tcW w:w="1146"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sz w:val="24"/>
              </w:rPr>
            </w:pPr>
            <w:r>
              <w:rPr>
                <w:color w:val="auto"/>
                <w:sz w:val="24"/>
              </w:rPr>
              <w:t>4000</w:t>
            </w:r>
          </w:p>
        </w:tc>
        <w:tc>
          <w:tcPr>
            <w:tcW w:w="3821" w:type="dxa"/>
            <w:vMerge w:val="restart"/>
            <w:tcBorders>
              <w:top w:val="single" w:color="auto" w:sz="4" w:space="0"/>
              <w:left w:val="nil"/>
              <w:right w:val="single" w:color="auto" w:sz="4" w:space="0"/>
            </w:tcBorders>
            <w:noWrap w:val="0"/>
            <w:vAlign w:val="center"/>
          </w:tcPr>
          <w:p>
            <w:pPr>
              <w:spacing w:line="300" w:lineRule="exact"/>
              <w:rPr>
                <w:color w:val="auto"/>
                <w:sz w:val="24"/>
              </w:rPr>
            </w:pPr>
            <w:r>
              <w:rPr>
                <w:color w:val="auto"/>
                <w:sz w:val="24"/>
              </w:rPr>
              <w:t>1.</w:t>
            </w:r>
            <w:r>
              <w:rPr>
                <w:rFonts w:hint="eastAsia"/>
                <w:color w:val="auto"/>
                <w:sz w:val="24"/>
              </w:rPr>
              <w:t>根据各种树木的高度、胸径大小、郁蔽度，按比例</w:t>
            </w:r>
            <w:r>
              <w:rPr>
                <w:rFonts w:hint="eastAsia"/>
                <w:color w:val="auto"/>
                <w:sz w:val="24"/>
              </w:rPr>
              <w:t>综合计算。</w:t>
            </w:r>
          </w:p>
          <w:p>
            <w:pPr>
              <w:spacing w:line="300" w:lineRule="exact"/>
              <w:rPr>
                <w:color w:val="auto"/>
                <w:sz w:val="24"/>
              </w:rPr>
            </w:pPr>
            <w:r>
              <w:rPr>
                <w:color w:val="auto"/>
                <w:sz w:val="24"/>
              </w:rPr>
              <w:t>2.</w:t>
            </w:r>
            <w:r>
              <w:rPr>
                <w:rFonts w:hint="eastAsia"/>
                <w:color w:val="auto"/>
                <w:sz w:val="24"/>
              </w:rPr>
              <w:t>每亩3</w:t>
            </w:r>
            <w:r>
              <w:rPr>
                <w:color w:val="auto"/>
                <w:sz w:val="24"/>
              </w:rPr>
              <w:t>0</w:t>
            </w:r>
            <w:r>
              <w:rPr>
                <w:rFonts w:hint="eastAsia"/>
                <w:color w:val="auto"/>
                <w:sz w:val="24"/>
              </w:rPr>
              <w:t>株以上。</w:t>
            </w:r>
          </w:p>
          <w:p>
            <w:pPr>
              <w:spacing w:line="300" w:lineRule="exact"/>
              <w:rPr>
                <w:color w:val="auto"/>
                <w:kern w:val="0"/>
                <w:sz w:val="24"/>
              </w:rPr>
            </w:pPr>
            <w:r>
              <w:rPr>
                <w:color w:val="auto"/>
                <w:kern w:val="0"/>
                <w:sz w:val="24"/>
              </w:rPr>
              <w:t>3.</w:t>
            </w:r>
            <w:r>
              <w:rPr>
                <w:rFonts w:hint="eastAsia"/>
                <w:color w:val="auto"/>
                <w:kern w:val="0"/>
                <w:sz w:val="24"/>
              </w:rPr>
              <w:t>本标准中未列举的其他用材林补偿，由自然资源部门会同县级林业、农业、物价等相关部门确定。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770" w:hRule="exac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香椿及其他树木</w:t>
            </w:r>
          </w:p>
        </w:tc>
        <w:tc>
          <w:tcPr>
            <w:tcW w:w="1145" w:type="dxa"/>
            <w:tcBorders>
              <w:top w:val="single" w:color="auto" w:sz="4" w:space="0"/>
              <w:left w:val="nil"/>
              <w:bottom w:val="single" w:color="auto" w:sz="4" w:space="0"/>
              <w:right w:val="single" w:color="auto" w:sz="4" w:space="0"/>
            </w:tcBorders>
            <w:noWrap w:val="0"/>
            <w:vAlign w:val="center"/>
          </w:tcPr>
          <w:p>
            <w:pPr>
              <w:jc w:val="center"/>
              <w:rPr>
                <w:color w:val="auto"/>
                <w:sz w:val="24"/>
              </w:rPr>
            </w:pPr>
            <w:r>
              <w:rPr>
                <w:color w:val="auto"/>
                <w:sz w:val="24"/>
              </w:rPr>
              <w:t>1500</w:t>
            </w:r>
          </w:p>
        </w:tc>
        <w:tc>
          <w:tcPr>
            <w:tcW w:w="1145" w:type="dxa"/>
            <w:tcBorders>
              <w:top w:val="single" w:color="auto" w:sz="4" w:space="0"/>
              <w:left w:val="nil"/>
              <w:bottom w:val="single" w:color="auto" w:sz="4" w:space="0"/>
              <w:right w:val="single" w:color="auto" w:sz="4" w:space="0"/>
            </w:tcBorders>
            <w:noWrap w:val="0"/>
            <w:vAlign w:val="center"/>
          </w:tcPr>
          <w:p>
            <w:pPr>
              <w:jc w:val="center"/>
              <w:rPr>
                <w:color w:val="auto"/>
                <w:sz w:val="24"/>
              </w:rPr>
            </w:pPr>
            <w:r>
              <w:rPr>
                <w:color w:val="auto"/>
                <w:sz w:val="24"/>
              </w:rPr>
              <w:t>2500</w:t>
            </w:r>
          </w:p>
        </w:tc>
        <w:tc>
          <w:tcPr>
            <w:tcW w:w="1146" w:type="dxa"/>
            <w:tcBorders>
              <w:top w:val="single" w:color="auto" w:sz="4" w:space="0"/>
              <w:left w:val="nil"/>
              <w:bottom w:val="single" w:color="auto" w:sz="4" w:space="0"/>
              <w:right w:val="single" w:color="auto" w:sz="4" w:space="0"/>
            </w:tcBorders>
            <w:noWrap w:val="0"/>
            <w:vAlign w:val="center"/>
          </w:tcPr>
          <w:p>
            <w:pPr>
              <w:jc w:val="center"/>
              <w:rPr>
                <w:color w:val="auto"/>
                <w:sz w:val="24"/>
              </w:rPr>
            </w:pPr>
            <w:r>
              <w:rPr>
                <w:color w:val="auto"/>
                <w:sz w:val="24"/>
              </w:rPr>
              <w:t>3500</w:t>
            </w:r>
          </w:p>
        </w:tc>
        <w:tc>
          <w:tcPr>
            <w:tcW w:w="3821" w:type="dxa"/>
            <w:vMerge w:val="continue"/>
            <w:tcBorders>
              <w:left w:val="nil"/>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1449" w:hRule="exact"/>
          <w:jc w:val="center"/>
        </w:trPr>
        <w:tc>
          <w:tcPr>
            <w:tcW w:w="2153"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rPr>
            </w:pPr>
            <w:r>
              <w:rPr>
                <w:rFonts w:hint="eastAsia"/>
                <w:color w:val="auto"/>
                <w:sz w:val="24"/>
              </w:rPr>
              <w:t>楠竹</w:t>
            </w:r>
          </w:p>
        </w:tc>
        <w:tc>
          <w:tcPr>
            <w:tcW w:w="3436" w:type="dxa"/>
            <w:gridSpan w:val="3"/>
            <w:tcBorders>
              <w:top w:val="single" w:color="auto" w:sz="4" w:space="0"/>
              <w:left w:val="nil"/>
              <w:bottom w:val="single" w:color="auto" w:sz="4" w:space="0"/>
              <w:right w:val="single" w:color="auto" w:sz="4" w:space="0"/>
            </w:tcBorders>
            <w:noWrap w:val="0"/>
            <w:vAlign w:val="center"/>
          </w:tcPr>
          <w:p>
            <w:pPr>
              <w:jc w:val="center"/>
              <w:rPr>
                <w:color w:val="auto"/>
                <w:sz w:val="24"/>
              </w:rPr>
            </w:pPr>
            <w:r>
              <w:rPr>
                <w:color w:val="auto"/>
                <w:sz w:val="24"/>
              </w:rPr>
              <w:t>6000</w:t>
            </w:r>
          </w:p>
        </w:tc>
        <w:tc>
          <w:tcPr>
            <w:tcW w:w="3821" w:type="dxa"/>
            <w:vMerge w:val="continue"/>
            <w:tcBorders>
              <w:left w:val="nil"/>
              <w:bottom w:val="single" w:color="auto" w:sz="4" w:space="0"/>
              <w:right w:val="single" w:color="auto" w:sz="4" w:space="0"/>
            </w:tcBorders>
            <w:noWrap w:val="0"/>
            <w:vAlign w:val="center"/>
          </w:tcPr>
          <w:p>
            <w:pPr>
              <w:rPr>
                <w:color w:val="auto"/>
              </w:rPr>
            </w:pPr>
          </w:p>
        </w:tc>
      </w:tr>
    </w:tbl>
    <w:p>
      <w:pPr>
        <w:rPr>
          <w:b/>
          <w:bCs/>
          <w:color w:val="auto"/>
          <w:kern w:val="0"/>
          <w:szCs w:val="21"/>
        </w:rPr>
      </w:pPr>
    </w:p>
    <w:p>
      <w:pPr>
        <w:rPr>
          <w:b/>
          <w:bCs/>
          <w:color w:val="auto"/>
          <w:kern w:val="0"/>
          <w:szCs w:val="21"/>
        </w:rPr>
      </w:pPr>
    </w:p>
    <w:p>
      <w:pPr>
        <w:rPr>
          <w:rFonts w:hint="eastAsia"/>
          <w:bCs/>
          <w:color w:val="auto"/>
          <w:kern w:val="0"/>
          <w:sz w:val="24"/>
        </w:rPr>
      </w:pPr>
      <w:r>
        <w:rPr>
          <w:rFonts w:hint="eastAsia"/>
          <w:bCs/>
          <w:color w:val="auto"/>
          <w:kern w:val="0"/>
          <w:sz w:val="24"/>
        </w:rPr>
        <w:t>征</w:t>
      </w:r>
      <w:r>
        <w:rPr>
          <w:rFonts w:hint="eastAsia"/>
          <w:bCs/>
          <w:color w:val="auto"/>
          <w:sz w:val="24"/>
        </w:rPr>
        <w:t>收</w:t>
      </w:r>
      <w:r>
        <w:rPr>
          <w:rFonts w:hint="eastAsia"/>
          <w:bCs/>
          <w:color w:val="auto"/>
          <w:kern w:val="0"/>
          <w:sz w:val="24"/>
        </w:rPr>
        <w:t>范围内成片果树青苗补偿标准：</w:t>
      </w:r>
      <w:r>
        <w:rPr>
          <w:bCs/>
          <w:color w:val="auto"/>
          <w:kern w:val="0"/>
          <w:sz w:val="24"/>
        </w:rPr>
        <w:t xml:space="preserve">             </w:t>
      </w:r>
      <w:r>
        <w:rPr>
          <w:rFonts w:hint="eastAsia"/>
          <w:bCs/>
          <w:color w:val="auto"/>
          <w:kern w:val="0"/>
          <w:sz w:val="24"/>
        </w:rPr>
        <w:t xml:space="preserve">   </w:t>
      </w:r>
      <w:r>
        <w:rPr>
          <w:bCs/>
          <w:color w:val="auto"/>
          <w:kern w:val="0"/>
          <w:sz w:val="24"/>
        </w:rPr>
        <w:t xml:space="preserve">       </w:t>
      </w:r>
      <w:r>
        <w:rPr>
          <w:rFonts w:hint="eastAsia"/>
          <w:bCs/>
          <w:color w:val="auto"/>
          <w:kern w:val="0"/>
          <w:sz w:val="24"/>
        </w:rPr>
        <w:t>　　　</w:t>
      </w:r>
    </w:p>
    <w:p>
      <w:pPr>
        <w:ind w:firstLine="7440" w:firstLineChars="3100"/>
        <w:rPr>
          <w:bCs/>
          <w:color w:val="auto"/>
          <w:sz w:val="24"/>
        </w:rPr>
      </w:pPr>
      <w:r>
        <w:rPr>
          <w:rFonts w:hint="eastAsia"/>
          <w:color w:val="auto"/>
          <w:kern w:val="0"/>
          <w:sz w:val="24"/>
        </w:rPr>
        <w:t>单位：元／亩</w:t>
      </w:r>
    </w:p>
    <w:tbl>
      <w:tblPr>
        <w:tblStyle w:val="7"/>
        <w:tblW w:w="9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619"/>
        <w:gridCol w:w="945"/>
        <w:gridCol w:w="946"/>
        <w:gridCol w:w="946"/>
        <w:gridCol w:w="4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549" w:type="dxa"/>
            <w:noWrap w:val="0"/>
            <w:vAlign w:val="center"/>
          </w:tcPr>
          <w:p>
            <w:pPr>
              <w:spacing w:line="240" w:lineRule="exact"/>
              <w:jc w:val="center"/>
              <w:rPr>
                <w:bCs/>
                <w:color w:val="auto"/>
                <w:kern w:val="0"/>
                <w:sz w:val="24"/>
              </w:rPr>
            </w:pPr>
            <w:r>
              <w:rPr>
                <w:rFonts w:hint="eastAsia"/>
                <w:bCs/>
                <w:color w:val="auto"/>
                <w:kern w:val="0"/>
                <w:sz w:val="24"/>
              </w:rPr>
              <w:t>序号</w:t>
            </w:r>
          </w:p>
        </w:tc>
        <w:tc>
          <w:tcPr>
            <w:tcW w:w="1619" w:type="dxa"/>
            <w:noWrap w:val="0"/>
            <w:vAlign w:val="center"/>
          </w:tcPr>
          <w:p>
            <w:pPr>
              <w:spacing w:line="240" w:lineRule="exact"/>
              <w:jc w:val="center"/>
              <w:rPr>
                <w:bCs/>
                <w:color w:val="auto"/>
                <w:kern w:val="0"/>
                <w:sz w:val="24"/>
              </w:rPr>
            </w:pPr>
            <w:r>
              <w:rPr>
                <w:rFonts w:hint="eastAsia"/>
                <w:bCs/>
                <w:color w:val="auto"/>
                <w:kern w:val="0"/>
                <w:sz w:val="24"/>
              </w:rPr>
              <w:t>种</w:t>
            </w:r>
            <w:r>
              <w:rPr>
                <w:bCs/>
                <w:color w:val="auto"/>
                <w:kern w:val="0"/>
                <w:sz w:val="24"/>
              </w:rPr>
              <w:t xml:space="preserve"> </w:t>
            </w:r>
            <w:r>
              <w:rPr>
                <w:rFonts w:hint="eastAsia"/>
                <w:bCs/>
                <w:color w:val="auto"/>
                <w:kern w:val="0"/>
                <w:sz w:val="24"/>
              </w:rPr>
              <w:t>类</w:t>
            </w:r>
          </w:p>
        </w:tc>
        <w:tc>
          <w:tcPr>
            <w:tcW w:w="945" w:type="dxa"/>
            <w:noWrap w:val="0"/>
            <w:vAlign w:val="center"/>
          </w:tcPr>
          <w:p>
            <w:pPr>
              <w:spacing w:line="240" w:lineRule="exact"/>
              <w:jc w:val="center"/>
              <w:rPr>
                <w:bCs/>
                <w:color w:val="auto"/>
                <w:kern w:val="0"/>
                <w:sz w:val="24"/>
              </w:rPr>
            </w:pPr>
            <w:r>
              <w:rPr>
                <w:rFonts w:hint="eastAsia"/>
                <w:bCs/>
                <w:color w:val="auto"/>
                <w:kern w:val="0"/>
                <w:sz w:val="24"/>
              </w:rPr>
              <w:t>苗期（</w:t>
            </w:r>
            <w:r>
              <w:rPr>
                <w:bCs/>
                <w:color w:val="auto"/>
                <w:kern w:val="0"/>
                <w:sz w:val="24"/>
              </w:rPr>
              <w:t>3</w:t>
            </w:r>
            <w:r>
              <w:rPr>
                <w:rFonts w:hint="eastAsia"/>
                <w:bCs/>
                <w:color w:val="auto"/>
                <w:kern w:val="0"/>
                <w:sz w:val="24"/>
              </w:rPr>
              <w:t>年内）</w:t>
            </w:r>
          </w:p>
        </w:tc>
        <w:tc>
          <w:tcPr>
            <w:tcW w:w="946" w:type="dxa"/>
            <w:noWrap w:val="0"/>
            <w:vAlign w:val="center"/>
          </w:tcPr>
          <w:p>
            <w:pPr>
              <w:spacing w:line="240" w:lineRule="exact"/>
              <w:jc w:val="center"/>
              <w:rPr>
                <w:bCs/>
                <w:color w:val="auto"/>
                <w:kern w:val="0"/>
                <w:sz w:val="24"/>
              </w:rPr>
            </w:pPr>
            <w:r>
              <w:rPr>
                <w:rFonts w:hint="eastAsia"/>
                <w:bCs/>
                <w:color w:val="auto"/>
                <w:kern w:val="0"/>
                <w:sz w:val="24"/>
              </w:rPr>
              <w:t>始产期（</w:t>
            </w:r>
            <w:r>
              <w:rPr>
                <w:bCs/>
                <w:color w:val="auto"/>
                <w:kern w:val="0"/>
                <w:sz w:val="24"/>
              </w:rPr>
              <w:t>3-6</w:t>
            </w:r>
            <w:r>
              <w:rPr>
                <w:rFonts w:hint="eastAsia"/>
                <w:bCs/>
                <w:color w:val="auto"/>
                <w:kern w:val="0"/>
                <w:sz w:val="24"/>
              </w:rPr>
              <w:t>年）</w:t>
            </w:r>
          </w:p>
        </w:tc>
        <w:tc>
          <w:tcPr>
            <w:tcW w:w="946" w:type="dxa"/>
            <w:noWrap w:val="0"/>
            <w:vAlign w:val="center"/>
          </w:tcPr>
          <w:p>
            <w:pPr>
              <w:spacing w:line="240" w:lineRule="exact"/>
              <w:jc w:val="center"/>
              <w:rPr>
                <w:bCs/>
                <w:color w:val="auto"/>
                <w:kern w:val="0"/>
                <w:sz w:val="24"/>
              </w:rPr>
            </w:pPr>
            <w:r>
              <w:rPr>
                <w:rFonts w:hint="eastAsia"/>
                <w:bCs/>
                <w:color w:val="auto"/>
                <w:kern w:val="0"/>
                <w:sz w:val="24"/>
              </w:rPr>
              <w:t>盛产期（</w:t>
            </w:r>
            <w:r>
              <w:rPr>
                <w:bCs/>
                <w:color w:val="auto"/>
                <w:kern w:val="0"/>
                <w:sz w:val="24"/>
              </w:rPr>
              <w:t>6</w:t>
            </w:r>
            <w:r>
              <w:rPr>
                <w:rFonts w:hint="eastAsia"/>
                <w:bCs/>
                <w:color w:val="auto"/>
                <w:kern w:val="0"/>
                <w:sz w:val="24"/>
              </w:rPr>
              <w:t>年以上）</w:t>
            </w:r>
          </w:p>
        </w:tc>
        <w:tc>
          <w:tcPr>
            <w:tcW w:w="4409" w:type="dxa"/>
            <w:noWrap w:val="0"/>
            <w:vAlign w:val="center"/>
          </w:tcPr>
          <w:p>
            <w:pPr>
              <w:spacing w:line="240" w:lineRule="exact"/>
              <w:jc w:val="center"/>
              <w:rPr>
                <w:bCs/>
                <w:color w:val="auto"/>
                <w:kern w:val="0"/>
                <w:sz w:val="24"/>
              </w:rPr>
            </w:pPr>
            <w:r>
              <w:rPr>
                <w:bCs/>
                <w:color w:val="auto"/>
                <w:kern w:val="0"/>
                <w:sz w:val="24"/>
              </w:rPr>
              <w:t> </w:t>
            </w:r>
            <w:r>
              <w:rPr>
                <w:rFonts w:hint="eastAsia"/>
                <w:bCs/>
                <w:color w:val="auto"/>
                <w:kern w:val="0"/>
                <w:sz w:val="24"/>
              </w:rPr>
              <w:t>备</w:t>
            </w:r>
            <w:r>
              <w:rPr>
                <w:bCs/>
                <w:color w:val="auto"/>
                <w:kern w:val="0"/>
                <w:sz w:val="24"/>
              </w:rPr>
              <w:t xml:space="preserve">  </w:t>
            </w:r>
            <w:r>
              <w:rPr>
                <w:rFonts w:hint="eastAsia"/>
                <w:bCs/>
                <w:color w:val="auto"/>
                <w:kern w:val="0"/>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549" w:type="dxa"/>
            <w:noWrap w:val="0"/>
            <w:vAlign w:val="center"/>
          </w:tcPr>
          <w:p>
            <w:pPr>
              <w:spacing w:line="240" w:lineRule="exact"/>
              <w:jc w:val="center"/>
              <w:rPr>
                <w:color w:val="auto"/>
                <w:kern w:val="0"/>
                <w:sz w:val="24"/>
              </w:rPr>
            </w:pPr>
            <w:r>
              <w:rPr>
                <w:color w:val="auto"/>
                <w:kern w:val="0"/>
                <w:sz w:val="24"/>
              </w:rPr>
              <w:t>1</w:t>
            </w:r>
          </w:p>
        </w:tc>
        <w:tc>
          <w:tcPr>
            <w:tcW w:w="1619" w:type="dxa"/>
            <w:noWrap w:val="0"/>
            <w:vAlign w:val="center"/>
          </w:tcPr>
          <w:p>
            <w:pPr>
              <w:spacing w:line="240" w:lineRule="exact"/>
              <w:jc w:val="center"/>
              <w:rPr>
                <w:color w:val="auto"/>
                <w:kern w:val="0"/>
                <w:sz w:val="24"/>
              </w:rPr>
            </w:pPr>
            <w:r>
              <w:rPr>
                <w:rFonts w:hint="eastAsia"/>
                <w:color w:val="auto"/>
                <w:kern w:val="0"/>
                <w:sz w:val="24"/>
              </w:rPr>
              <w:t>柚、柑、桔</w:t>
            </w:r>
          </w:p>
        </w:tc>
        <w:tc>
          <w:tcPr>
            <w:tcW w:w="945" w:type="dxa"/>
            <w:noWrap w:val="0"/>
            <w:vAlign w:val="center"/>
          </w:tcPr>
          <w:p>
            <w:pPr>
              <w:spacing w:line="240" w:lineRule="exact"/>
              <w:jc w:val="center"/>
              <w:rPr>
                <w:color w:val="auto"/>
                <w:kern w:val="0"/>
                <w:sz w:val="24"/>
              </w:rPr>
            </w:pPr>
            <w:r>
              <w:rPr>
                <w:color w:val="auto"/>
                <w:kern w:val="0"/>
                <w:sz w:val="24"/>
              </w:rPr>
              <w:t>3000</w:t>
            </w:r>
          </w:p>
        </w:tc>
        <w:tc>
          <w:tcPr>
            <w:tcW w:w="946" w:type="dxa"/>
            <w:noWrap w:val="0"/>
            <w:vAlign w:val="center"/>
          </w:tcPr>
          <w:p>
            <w:pPr>
              <w:spacing w:line="240" w:lineRule="exact"/>
              <w:jc w:val="center"/>
              <w:rPr>
                <w:color w:val="auto"/>
                <w:kern w:val="0"/>
                <w:sz w:val="24"/>
              </w:rPr>
            </w:pPr>
            <w:r>
              <w:rPr>
                <w:color w:val="auto"/>
                <w:kern w:val="0"/>
                <w:sz w:val="24"/>
              </w:rPr>
              <w:t>8000</w:t>
            </w:r>
          </w:p>
        </w:tc>
        <w:tc>
          <w:tcPr>
            <w:tcW w:w="946" w:type="dxa"/>
            <w:noWrap w:val="0"/>
            <w:vAlign w:val="center"/>
          </w:tcPr>
          <w:p>
            <w:pPr>
              <w:spacing w:line="240" w:lineRule="exact"/>
              <w:jc w:val="center"/>
              <w:rPr>
                <w:color w:val="auto"/>
                <w:kern w:val="0"/>
                <w:sz w:val="24"/>
              </w:rPr>
            </w:pPr>
            <w:r>
              <w:rPr>
                <w:color w:val="auto"/>
                <w:kern w:val="0"/>
                <w:sz w:val="24"/>
              </w:rPr>
              <w:t>10000</w:t>
            </w:r>
          </w:p>
        </w:tc>
        <w:tc>
          <w:tcPr>
            <w:tcW w:w="4409" w:type="dxa"/>
            <w:vMerge w:val="restart"/>
            <w:noWrap w:val="0"/>
            <w:vAlign w:val="center"/>
          </w:tcPr>
          <w:p>
            <w:pPr>
              <w:spacing w:line="300" w:lineRule="exact"/>
              <w:rPr>
                <w:rFonts w:hint="eastAsia"/>
                <w:color w:val="auto"/>
                <w:kern w:val="0"/>
                <w:sz w:val="24"/>
              </w:rPr>
            </w:pPr>
            <w:r>
              <w:rPr>
                <w:color w:val="auto"/>
                <w:kern w:val="0"/>
                <w:sz w:val="24"/>
              </w:rPr>
              <w:t>1.</w:t>
            </w:r>
            <w:r>
              <w:rPr>
                <w:rFonts w:hint="eastAsia"/>
                <w:color w:val="auto"/>
                <w:kern w:val="0"/>
                <w:sz w:val="24"/>
              </w:rPr>
              <w:t>本表中葡萄、猕猴桃设定的栽植密度为</w:t>
            </w:r>
            <w:r>
              <w:rPr>
                <w:color w:val="auto"/>
                <w:kern w:val="0"/>
                <w:sz w:val="24"/>
              </w:rPr>
              <w:t>140</w:t>
            </w:r>
            <w:r>
              <w:rPr>
                <w:rFonts w:hint="eastAsia"/>
                <w:color w:val="auto"/>
                <w:kern w:val="0"/>
                <w:sz w:val="24"/>
              </w:rPr>
              <w:t>株</w:t>
            </w:r>
            <w:r>
              <w:rPr>
                <w:color w:val="auto"/>
                <w:kern w:val="0"/>
                <w:sz w:val="24"/>
              </w:rPr>
              <w:t>/</w:t>
            </w:r>
            <w:r>
              <w:rPr>
                <w:rFonts w:hint="eastAsia"/>
                <w:color w:val="auto"/>
                <w:kern w:val="0"/>
                <w:sz w:val="24"/>
              </w:rPr>
              <w:t>亩，其他果树设定的栽植密度为</w:t>
            </w:r>
            <w:r>
              <w:rPr>
                <w:color w:val="auto"/>
                <w:kern w:val="0"/>
                <w:sz w:val="24"/>
              </w:rPr>
              <w:t>50-60</w:t>
            </w:r>
            <w:r>
              <w:rPr>
                <w:rFonts w:hint="eastAsia"/>
                <w:color w:val="auto"/>
                <w:kern w:val="0"/>
                <w:sz w:val="24"/>
              </w:rPr>
              <w:t>株</w:t>
            </w:r>
            <w:r>
              <w:rPr>
                <w:color w:val="auto"/>
                <w:kern w:val="0"/>
                <w:sz w:val="24"/>
              </w:rPr>
              <w:t>/</w:t>
            </w:r>
            <w:r>
              <w:rPr>
                <w:rFonts w:hint="eastAsia"/>
                <w:color w:val="auto"/>
                <w:kern w:val="0"/>
                <w:sz w:val="24"/>
              </w:rPr>
              <w:t>亩，低于设定栽植密度的按零星青苗补偿，高于设定栽植密度的按本标准补偿。</w:t>
            </w:r>
          </w:p>
          <w:p>
            <w:pPr>
              <w:spacing w:line="300" w:lineRule="exact"/>
              <w:rPr>
                <w:rFonts w:hint="eastAsia"/>
                <w:color w:val="auto"/>
                <w:kern w:val="0"/>
                <w:sz w:val="24"/>
              </w:rPr>
            </w:pPr>
            <w:r>
              <w:rPr>
                <w:rFonts w:hint="eastAsia"/>
                <w:color w:val="auto"/>
                <w:kern w:val="0"/>
                <w:sz w:val="24"/>
              </w:rPr>
              <w:t>2.两种或两种以上果树混栽的，按综合加权平均价计算补偿。</w:t>
            </w:r>
          </w:p>
          <w:p>
            <w:pPr>
              <w:spacing w:line="300" w:lineRule="exact"/>
              <w:rPr>
                <w:color w:val="auto"/>
                <w:kern w:val="0"/>
                <w:sz w:val="24"/>
              </w:rPr>
            </w:pPr>
            <w:r>
              <w:rPr>
                <w:rFonts w:hint="eastAsia"/>
                <w:color w:val="auto"/>
                <w:kern w:val="0"/>
                <w:sz w:val="24"/>
              </w:rPr>
              <w:t>3.本标准中未列举的其他果树补偿，由自然资源部门会同县级林业、农业、物价等相关部门确定。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6" w:hRule="atLeast"/>
          <w:jc w:val="center"/>
        </w:trPr>
        <w:tc>
          <w:tcPr>
            <w:tcW w:w="549" w:type="dxa"/>
            <w:noWrap w:val="0"/>
            <w:vAlign w:val="center"/>
          </w:tcPr>
          <w:p>
            <w:pPr>
              <w:jc w:val="center"/>
              <w:rPr>
                <w:color w:val="auto"/>
                <w:kern w:val="0"/>
                <w:sz w:val="24"/>
              </w:rPr>
            </w:pPr>
            <w:r>
              <w:rPr>
                <w:color w:val="auto"/>
                <w:kern w:val="0"/>
                <w:sz w:val="24"/>
              </w:rPr>
              <w:t>2</w:t>
            </w:r>
          </w:p>
        </w:tc>
        <w:tc>
          <w:tcPr>
            <w:tcW w:w="1619" w:type="dxa"/>
            <w:noWrap w:val="0"/>
            <w:vAlign w:val="center"/>
          </w:tcPr>
          <w:p>
            <w:pPr>
              <w:jc w:val="center"/>
              <w:rPr>
                <w:color w:val="auto"/>
                <w:kern w:val="0"/>
                <w:sz w:val="24"/>
              </w:rPr>
            </w:pPr>
            <w:r>
              <w:rPr>
                <w:rFonts w:hint="eastAsia"/>
                <w:color w:val="auto"/>
                <w:kern w:val="0"/>
                <w:sz w:val="24"/>
              </w:rPr>
              <w:t>桃、李、梨、枣、杏、枇杷、石榴、猕猴桃、杨梅、葡萄</w:t>
            </w:r>
          </w:p>
        </w:tc>
        <w:tc>
          <w:tcPr>
            <w:tcW w:w="945" w:type="dxa"/>
            <w:noWrap w:val="0"/>
            <w:vAlign w:val="center"/>
          </w:tcPr>
          <w:p>
            <w:pPr>
              <w:jc w:val="center"/>
              <w:rPr>
                <w:color w:val="auto"/>
                <w:kern w:val="0"/>
                <w:sz w:val="24"/>
              </w:rPr>
            </w:pPr>
            <w:r>
              <w:rPr>
                <w:color w:val="auto"/>
                <w:kern w:val="0"/>
                <w:sz w:val="24"/>
              </w:rPr>
              <w:t>3000</w:t>
            </w:r>
          </w:p>
        </w:tc>
        <w:tc>
          <w:tcPr>
            <w:tcW w:w="946" w:type="dxa"/>
            <w:noWrap w:val="0"/>
            <w:vAlign w:val="center"/>
          </w:tcPr>
          <w:p>
            <w:pPr>
              <w:jc w:val="center"/>
              <w:rPr>
                <w:color w:val="auto"/>
                <w:kern w:val="0"/>
                <w:sz w:val="24"/>
              </w:rPr>
            </w:pPr>
            <w:r>
              <w:rPr>
                <w:color w:val="auto"/>
                <w:kern w:val="0"/>
                <w:sz w:val="24"/>
              </w:rPr>
              <w:t>10000</w:t>
            </w:r>
          </w:p>
        </w:tc>
        <w:tc>
          <w:tcPr>
            <w:tcW w:w="946" w:type="dxa"/>
            <w:noWrap w:val="0"/>
            <w:vAlign w:val="center"/>
          </w:tcPr>
          <w:p>
            <w:pPr>
              <w:jc w:val="center"/>
              <w:rPr>
                <w:color w:val="auto"/>
                <w:kern w:val="0"/>
                <w:sz w:val="24"/>
              </w:rPr>
            </w:pPr>
            <w:r>
              <w:rPr>
                <w:color w:val="auto"/>
                <w:kern w:val="0"/>
                <w:sz w:val="24"/>
              </w:rPr>
              <w:t>12000</w:t>
            </w:r>
          </w:p>
        </w:tc>
        <w:tc>
          <w:tcPr>
            <w:tcW w:w="4409" w:type="dxa"/>
            <w:vMerge w:val="continue"/>
            <w:noWrap w:val="0"/>
            <w:vAlign w:val="center"/>
          </w:tcPr>
          <w:p>
            <w:pPr>
              <w:rPr>
                <w:color w:val="auto"/>
              </w:rPr>
            </w:pPr>
          </w:p>
        </w:tc>
      </w:tr>
    </w:tbl>
    <w:p>
      <w:pPr>
        <w:rPr>
          <w:rFonts w:hint="eastAsia"/>
          <w:bCs/>
          <w:color w:val="auto"/>
          <w:sz w:val="24"/>
        </w:rPr>
      </w:pPr>
    </w:p>
    <w:p>
      <w:pPr>
        <w:rPr>
          <w:rFonts w:hint="eastAsia"/>
          <w:bCs/>
          <w:color w:val="auto"/>
          <w:sz w:val="24"/>
        </w:rPr>
      </w:pPr>
    </w:p>
    <w:p>
      <w:pPr>
        <w:rPr>
          <w:bCs/>
          <w:color w:val="auto"/>
          <w:sz w:val="24"/>
        </w:rPr>
      </w:pPr>
      <w:r>
        <w:rPr>
          <w:rFonts w:hint="eastAsia"/>
          <w:bCs/>
          <w:color w:val="auto"/>
          <w:sz w:val="24"/>
        </w:rPr>
        <w:t>征收范围内成片经济林青苗补偿标准：</w:t>
      </w:r>
      <w:r>
        <w:rPr>
          <w:bCs/>
          <w:color w:val="auto"/>
          <w:sz w:val="24"/>
        </w:rPr>
        <w:t xml:space="preserve">       </w:t>
      </w:r>
      <w:r>
        <w:rPr>
          <w:rFonts w:hint="eastAsia"/>
          <w:bCs/>
          <w:color w:val="auto"/>
          <w:sz w:val="24"/>
        </w:rPr>
        <w:t xml:space="preserve">    </w:t>
      </w:r>
      <w:r>
        <w:rPr>
          <w:bCs/>
          <w:color w:val="auto"/>
          <w:sz w:val="24"/>
        </w:rPr>
        <w:t xml:space="preserve">       </w:t>
      </w:r>
      <w:r>
        <w:rPr>
          <w:rFonts w:hint="eastAsia"/>
          <w:bCs/>
          <w:color w:val="auto"/>
          <w:sz w:val="24"/>
        </w:rPr>
        <w:t>　　　</w:t>
      </w:r>
      <w:r>
        <w:rPr>
          <w:bCs/>
          <w:color w:val="auto"/>
          <w:sz w:val="24"/>
        </w:rPr>
        <w:t xml:space="preserve">   </w:t>
      </w:r>
    </w:p>
    <w:p>
      <w:pPr>
        <w:ind w:firstLine="6720" w:firstLineChars="2800"/>
        <w:rPr>
          <w:bCs/>
          <w:color w:val="auto"/>
          <w:sz w:val="24"/>
        </w:rPr>
      </w:pPr>
      <w:r>
        <w:rPr>
          <w:bCs/>
          <w:color w:val="auto"/>
          <w:sz w:val="24"/>
        </w:rPr>
        <w:t xml:space="preserve"> </w:t>
      </w:r>
      <w:r>
        <w:rPr>
          <w:rFonts w:hint="eastAsia"/>
          <w:color w:val="auto"/>
          <w:kern w:val="0"/>
          <w:sz w:val="24"/>
        </w:rPr>
        <w:t>单位：元／亩</w:t>
      </w:r>
    </w:p>
    <w:tbl>
      <w:tblPr>
        <w:tblStyle w:val="7"/>
        <w:tblW w:w="966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454"/>
        <w:gridCol w:w="1116"/>
        <w:gridCol w:w="1179"/>
        <w:gridCol w:w="1179"/>
        <w:gridCol w:w="1180"/>
        <w:gridCol w:w="45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964" w:hRule="atLeast"/>
          <w:jc w:val="center"/>
        </w:trPr>
        <w:tc>
          <w:tcPr>
            <w:tcW w:w="454"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0"/>
                <w:sz w:val="24"/>
              </w:rPr>
            </w:pPr>
            <w:r>
              <w:rPr>
                <w:rFonts w:hint="eastAsia"/>
                <w:bCs/>
                <w:color w:val="auto"/>
                <w:kern w:val="0"/>
                <w:sz w:val="24"/>
              </w:rPr>
              <w:t>序号</w:t>
            </w:r>
          </w:p>
        </w:tc>
        <w:tc>
          <w:tcPr>
            <w:tcW w:w="1116" w:type="dxa"/>
            <w:tcBorders>
              <w:top w:val="single" w:color="auto" w:sz="4" w:space="0"/>
              <w:left w:val="nil"/>
              <w:bottom w:val="single" w:color="auto" w:sz="4" w:space="0"/>
              <w:right w:val="single" w:color="auto" w:sz="4" w:space="0"/>
            </w:tcBorders>
            <w:noWrap w:val="0"/>
            <w:vAlign w:val="center"/>
          </w:tcPr>
          <w:p>
            <w:pPr>
              <w:jc w:val="center"/>
              <w:rPr>
                <w:bCs/>
                <w:color w:val="auto"/>
                <w:kern w:val="0"/>
                <w:sz w:val="24"/>
              </w:rPr>
            </w:pPr>
            <w:r>
              <w:rPr>
                <w:rFonts w:hint="eastAsia"/>
                <w:bCs/>
                <w:color w:val="auto"/>
                <w:kern w:val="0"/>
                <w:sz w:val="24"/>
              </w:rPr>
              <w:t>种</w:t>
            </w:r>
            <w:r>
              <w:rPr>
                <w:bCs/>
                <w:color w:val="auto"/>
                <w:kern w:val="0"/>
                <w:sz w:val="24"/>
              </w:rPr>
              <w:t xml:space="preserve">  </w:t>
            </w:r>
            <w:r>
              <w:rPr>
                <w:rFonts w:hint="eastAsia"/>
                <w:bCs/>
                <w:color w:val="auto"/>
                <w:kern w:val="0"/>
                <w:sz w:val="24"/>
              </w:rPr>
              <w:t>类</w:t>
            </w:r>
            <w:r>
              <w:rPr>
                <w:bCs/>
                <w:color w:val="auto"/>
                <w:kern w:val="0"/>
                <w:sz w:val="24"/>
              </w:rPr>
              <w:t xml:space="preserve"> </w:t>
            </w:r>
          </w:p>
        </w:tc>
        <w:tc>
          <w:tcPr>
            <w:tcW w:w="1179" w:type="dxa"/>
            <w:tcBorders>
              <w:top w:val="single" w:color="auto" w:sz="4" w:space="0"/>
              <w:left w:val="nil"/>
              <w:bottom w:val="single" w:color="auto" w:sz="4" w:space="0"/>
              <w:right w:val="single" w:color="auto" w:sz="4" w:space="0"/>
            </w:tcBorders>
            <w:noWrap w:val="0"/>
            <w:vAlign w:val="center"/>
          </w:tcPr>
          <w:p>
            <w:pPr>
              <w:jc w:val="center"/>
              <w:rPr>
                <w:bCs/>
                <w:color w:val="auto"/>
                <w:kern w:val="0"/>
                <w:sz w:val="24"/>
              </w:rPr>
            </w:pPr>
            <w:r>
              <w:rPr>
                <w:rFonts w:hint="eastAsia"/>
                <w:bCs/>
                <w:color w:val="auto"/>
                <w:kern w:val="0"/>
                <w:sz w:val="24"/>
              </w:rPr>
              <w:t>苗期（</w:t>
            </w:r>
            <w:r>
              <w:rPr>
                <w:bCs/>
                <w:color w:val="auto"/>
                <w:kern w:val="0"/>
                <w:sz w:val="24"/>
              </w:rPr>
              <w:t>3</w:t>
            </w:r>
            <w:r>
              <w:rPr>
                <w:rFonts w:hint="eastAsia"/>
                <w:bCs/>
                <w:color w:val="auto"/>
                <w:kern w:val="0"/>
                <w:sz w:val="24"/>
              </w:rPr>
              <w:t>年内）</w:t>
            </w:r>
          </w:p>
        </w:tc>
        <w:tc>
          <w:tcPr>
            <w:tcW w:w="1179" w:type="dxa"/>
            <w:tcBorders>
              <w:top w:val="single" w:color="auto" w:sz="4" w:space="0"/>
              <w:left w:val="nil"/>
              <w:bottom w:val="single" w:color="auto" w:sz="4" w:space="0"/>
              <w:right w:val="single" w:color="auto" w:sz="4" w:space="0"/>
            </w:tcBorders>
            <w:noWrap w:val="0"/>
            <w:vAlign w:val="center"/>
          </w:tcPr>
          <w:p>
            <w:pPr>
              <w:jc w:val="center"/>
              <w:rPr>
                <w:bCs/>
                <w:color w:val="auto"/>
                <w:kern w:val="0"/>
                <w:sz w:val="24"/>
              </w:rPr>
            </w:pPr>
            <w:r>
              <w:rPr>
                <w:rFonts w:hint="eastAsia"/>
                <w:bCs/>
                <w:color w:val="auto"/>
                <w:kern w:val="0"/>
                <w:sz w:val="24"/>
              </w:rPr>
              <w:t>始产期（</w:t>
            </w:r>
            <w:r>
              <w:rPr>
                <w:bCs/>
                <w:color w:val="auto"/>
                <w:kern w:val="0"/>
                <w:sz w:val="24"/>
              </w:rPr>
              <w:t>3-6</w:t>
            </w:r>
            <w:r>
              <w:rPr>
                <w:rFonts w:hint="eastAsia"/>
                <w:bCs/>
                <w:color w:val="auto"/>
                <w:kern w:val="0"/>
                <w:sz w:val="24"/>
              </w:rPr>
              <w:t>年）</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auto"/>
                <w:kern w:val="0"/>
                <w:sz w:val="24"/>
              </w:rPr>
            </w:pPr>
            <w:r>
              <w:rPr>
                <w:rFonts w:hint="eastAsia"/>
                <w:bCs/>
                <w:color w:val="auto"/>
                <w:kern w:val="0"/>
                <w:sz w:val="24"/>
              </w:rPr>
              <w:t>盛产期（</w:t>
            </w:r>
            <w:r>
              <w:rPr>
                <w:bCs/>
                <w:color w:val="auto"/>
                <w:kern w:val="0"/>
                <w:sz w:val="24"/>
              </w:rPr>
              <w:t>6</w:t>
            </w:r>
            <w:r>
              <w:rPr>
                <w:rFonts w:hint="eastAsia"/>
                <w:bCs/>
                <w:color w:val="auto"/>
                <w:kern w:val="0"/>
                <w:sz w:val="24"/>
              </w:rPr>
              <w:t>年以上）</w:t>
            </w:r>
          </w:p>
        </w:tc>
        <w:tc>
          <w:tcPr>
            <w:tcW w:w="4554" w:type="dxa"/>
            <w:tcBorders>
              <w:top w:val="single" w:color="auto" w:sz="4" w:space="0"/>
              <w:left w:val="nil"/>
              <w:bottom w:val="single" w:color="auto" w:sz="4" w:space="0"/>
              <w:right w:val="single" w:color="auto" w:sz="4" w:space="0"/>
            </w:tcBorders>
            <w:noWrap w:val="0"/>
            <w:vAlign w:val="center"/>
          </w:tcPr>
          <w:p>
            <w:pPr>
              <w:jc w:val="center"/>
              <w:rPr>
                <w:bCs/>
                <w:color w:val="auto"/>
                <w:kern w:val="0"/>
                <w:sz w:val="24"/>
              </w:rPr>
            </w:pPr>
            <w:r>
              <w:rPr>
                <w:rFonts w:hint="eastAsia"/>
                <w:bCs/>
                <w:color w:val="auto"/>
                <w:kern w:val="0"/>
                <w:sz w:val="24"/>
              </w:rPr>
              <w:t>备</w:t>
            </w:r>
            <w:r>
              <w:rPr>
                <w:bCs/>
                <w:color w:val="auto"/>
                <w:kern w:val="0"/>
                <w:sz w:val="24"/>
              </w:rPr>
              <w:t xml:space="preserve">   </w:t>
            </w:r>
            <w:r>
              <w:rPr>
                <w:rFonts w:hint="eastAsia"/>
                <w:bCs/>
                <w:color w:val="auto"/>
                <w:kern w:val="0"/>
                <w:sz w:val="24"/>
              </w:rPr>
              <w:t>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0"/>
            <w:vAlign w:val="center"/>
          </w:tcPr>
          <w:p>
            <w:pPr>
              <w:spacing w:line="240" w:lineRule="exact"/>
              <w:jc w:val="center"/>
              <w:rPr>
                <w:color w:val="auto"/>
                <w:kern w:val="0"/>
                <w:sz w:val="24"/>
              </w:rPr>
            </w:pPr>
            <w:r>
              <w:rPr>
                <w:color w:val="auto"/>
                <w:kern w:val="0"/>
                <w:sz w:val="24"/>
              </w:rPr>
              <w:t>1</w:t>
            </w:r>
          </w:p>
        </w:tc>
        <w:tc>
          <w:tcPr>
            <w:tcW w:w="1116" w:type="dxa"/>
            <w:tcBorders>
              <w:top w:val="nil"/>
              <w:left w:val="nil"/>
              <w:bottom w:val="single" w:color="auto" w:sz="4" w:space="0"/>
              <w:right w:val="single" w:color="auto" w:sz="4" w:space="0"/>
            </w:tcBorders>
            <w:noWrap w:val="0"/>
            <w:vAlign w:val="center"/>
          </w:tcPr>
          <w:p>
            <w:pPr>
              <w:spacing w:line="240" w:lineRule="exact"/>
              <w:jc w:val="center"/>
              <w:rPr>
                <w:color w:val="auto"/>
                <w:kern w:val="0"/>
                <w:sz w:val="24"/>
              </w:rPr>
            </w:pPr>
            <w:r>
              <w:rPr>
                <w:rFonts w:hint="eastAsia"/>
                <w:color w:val="auto"/>
                <w:kern w:val="0"/>
                <w:sz w:val="24"/>
              </w:rPr>
              <w:t>油茶</w:t>
            </w:r>
          </w:p>
        </w:tc>
        <w:tc>
          <w:tcPr>
            <w:tcW w:w="1179" w:type="dxa"/>
            <w:tcBorders>
              <w:top w:val="nil"/>
              <w:left w:val="nil"/>
              <w:bottom w:val="single" w:color="auto" w:sz="4" w:space="0"/>
              <w:right w:val="single" w:color="auto" w:sz="4" w:space="0"/>
            </w:tcBorders>
            <w:noWrap w:val="0"/>
            <w:vAlign w:val="center"/>
          </w:tcPr>
          <w:p>
            <w:pPr>
              <w:spacing w:line="240" w:lineRule="exact"/>
              <w:jc w:val="center"/>
              <w:rPr>
                <w:color w:val="auto"/>
                <w:kern w:val="0"/>
                <w:sz w:val="24"/>
              </w:rPr>
            </w:pPr>
            <w:r>
              <w:rPr>
                <w:rFonts w:hint="eastAsia"/>
                <w:color w:val="auto"/>
                <w:kern w:val="0"/>
                <w:sz w:val="24"/>
              </w:rPr>
              <w:t>3000</w:t>
            </w:r>
          </w:p>
        </w:tc>
        <w:tc>
          <w:tcPr>
            <w:tcW w:w="1179"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kern w:val="0"/>
                <w:sz w:val="24"/>
              </w:rPr>
            </w:pPr>
            <w:r>
              <w:rPr>
                <w:color w:val="auto"/>
                <w:kern w:val="0"/>
                <w:sz w:val="24"/>
              </w:rPr>
              <w:t>8000</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auto"/>
                <w:kern w:val="0"/>
                <w:sz w:val="24"/>
              </w:rPr>
            </w:pPr>
            <w:r>
              <w:rPr>
                <w:color w:val="auto"/>
                <w:kern w:val="0"/>
                <w:sz w:val="24"/>
              </w:rPr>
              <w:t>1</w:t>
            </w:r>
            <w:r>
              <w:rPr>
                <w:rFonts w:hint="eastAsia"/>
                <w:color w:val="auto"/>
                <w:kern w:val="0"/>
                <w:sz w:val="24"/>
              </w:rPr>
              <w:t>2</w:t>
            </w:r>
            <w:r>
              <w:rPr>
                <w:color w:val="auto"/>
                <w:kern w:val="0"/>
                <w:sz w:val="24"/>
              </w:rPr>
              <w:t>000</w:t>
            </w:r>
          </w:p>
        </w:tc>
        <w:tc>
          <w:tcPr>
            <w:tcW w:w="4554" w:type="dxa"/>
            <w:vMerge w:val="restart"/>
            <w:tcBorders>
              <w:top w:val="nil"/>
              <w:left w:val="single" w:color="auto" w:sz="4" w:space="0"/>
              <w:bottom w:val="single" w:color="auto" w:sz="4" w:space="0"/>
              <w:right w:val="single" w:color="auto" w:sz="4" w:space="0"/>
            </w:tcBorders>
            <w:noWrap w:val="0"/>
            <w:vAlign w:val="center"/>
          </w:tcPr>
          <w:p>
            <w:pPr>
              <w:spacing w:line="360" w:lineRule="exact"/>
              <w:rPr>
                <w:color w:val="auto"/>
                <w:spacing w:val="-4"/>
                <w:kern w:val="0"/>
                <w:sz w:val="24"/>
              </w:rPr>
            </w:pPr>
            <w:r>
              <w:rPr>
                <w:color w:val="auto"/>
                <w:spacing w:val="-4"/>
                <w:kern w:val="0"/>
                <w:sz w:val="24"/>
              </w:rPr>
              <w:t>1.</w:t>
            </w:r>
            <w:r>
              <w:rPr>
                <w:rFonts w:hint="eastAsia"/>
                <w:color w:val="auto"/>
                <w:spacing w:val="-4"/>
                <w:kern w:val="0"/>
                <w:sz w:val="24"/>
              </w:rPr>
              <w:t>本表中油茶设定的栽种密度为60-70株</w:t>
            </w:r>
            <w:r>
              <w:rPr>
                <w:color w:val="auto"/>
                <w:spacing w:val="-4"/>
                <w:kern w:val="0"/>
                <w:sz w:val="24"/>
              </w:rPr>
              <w:t>/</w:t>
            </w:r>
            <w:r>
              <w:rPr>
                <w:rFonts w:hint="eastAsia"/>
                <w:color w:val="auto"/>
                <w:spacing w:val="-4"/>
                <w:kern w:val="0"/>
                <w:sz w:val="24"/>
              </w:rPr>
              <w:t>亩，油桐设定的栽植密度为</w:t>
            </w:r>
            <w:r>
              <w:rPr>
                <w:color w:val="auto"/>
                <w:spacing w:val="-4"/>
                <w:kern w:val="0"/>
                <w:sz w:val="24"/>
              </w:rPr>
              <w:t>100</w:t>
            </w:r>
            <w:r>
              <w:rPr>
                <w:rFonts w:hint="eastAsia"/>
                <w:color w:val="auto"/>
                <w:spacing w:val="-4"/>
                <w:kern w:val="0"/>
                <w:sz w:val="24"/>
              </w:rPr>
              <w:t>株</w:t>
            </w:r>
            <w:r>
              <w:rPr>
                <w:color w:val="auto"/>
                <w:spacing w:val="-4"/>
                <w:kern w:val="0"/>
                <w:sz w:val="24"/>
              </w:rPr>
              <w:t>/</w:t>
            </w:r>
            <w:r>
              <w:rPr>
                <w:rFonts w:hint="eastAsia"/>
                <w:color w:val="auto"/>
                <w:spacing w:val="-4"/>
                <w:kern w:val="0"/>
                <w:sz w:val="24"/>
              </w:rPr>
              <w:t>亩，茶叶栽植密度</w:t>
            </w:r>
            <w:r>
              <w:rPr>
                <w:color w:val="auto"/>
                <w:spacing w:val="-4"/>
                <w:kern w:val="0"/>
                <w:sz w:val="24"/>
              </w:rPr>
              <w:t>4000</w:t>
            </w:r>
            <w:r>
              <w:rPr>
                <w:rFonts w:hint="eastAsia"/>
                <w:color w:val="auto"/>
                <w:spacing w:val="-4"/>
                <w:kern w:val="0"/>
                <w:sz w:val="24"/>
              </w:rPr>
              <w:t>株</w:t>
            </w:r>
            <w:r>
              <w:rPr>
                <w:color w:val="auto"/>
                <w:spacing w:val="-4"/>
                <w:kern w:val="0"/>
                <w:sz w:val="24"/>
              </w:rPr>
              <w:t>/</w:t>
            </w:r>
            <w:r>
              <w:rPr>
                <w:rFonts w:hint="eastAsia"/>
                <w:color w:val="auto"/>
                <w:spacing w:val="-4"/>
                <w:kern w:val="0"/>
                <w:sz w:val="24"/>
              </w:rPr>
              <w:t>亩。低于设定栽植密度的按零星青苗补偿，高于设定栽植密度的按本标准补偿。</w:t>
            </w:r>
          </w:p>
          <w:p>
            <w:pPr>
              <w:spacing w:line="360" w:lineRule="exact"/>
              <w:rPr>
                <w:color w:val="auto"/>
                <w:kern w:val="0"/>
                <w:sz w:val="24"/>
              </w:rPr>
            </w:pPr>
            <w:r>
              <w:rPr>
                <w:color w:val="auto"/>
                <w:kern w:val="0"/>
                <w:sz w:val="24"/>
              </w:rPr>
              <w:t>2.</w:t>
            </w:r>
            <w:r>
              <w:rPr>
                <w:rFonts w:hint="eastAsia"/>
                <w:color w:val="auto"/>
                <w:kern w:val="0"/>
                <w:sz w:val="24"/>
              </w:rPr>
              <w:t>本标准中未列举的其他经济林木补偿，由自然资源部门会同县级林业、农业、物价等部门确定。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0"/>
            <w:vAlign w:val="center"/>
          </w:tcPr>
          <w:p>
            <w:pPr>
              <w:spacing w:line="240" w:lineRule="exact"/>
              <w:jc w:val="center"/>
              <w:rPr>
                <w:color w:val="auto"/>
                <w:kern w:val="0"/>
                <w:sz w:val="24"/>
              </w:rPr>
            </w:pPr>
            <w:r>
              <w:rPr>
                <w:color w:val="auto"/>
                <w:kern w:val="0"/>
                <w:sz w:val="24"/>
              </w:rPr>
              <w:t>2</w:t>
            </w:r>
          </w:p>
        </w:tc>
        <w:tc>
          <w:tcPr>
            <w:tcW w:w="1116" w:type="dxa"/>
            <w:tcBorders>
              <w:top w:val="nil"/>
              <w:left w:val="nil"/>
              <w:bottom w:val="single" w:color="auto" w:sz="4" w:space="0"/>
              <w:right w:val="single" w:color="auto" w:sz="4" w:space="0"/>
            </w:tcBorders>
            <w:noWrap w:val="0"/>
            <w:vAlign w:val="center"/>
          </w:tcPr>
          <w:p>
            <w:pPr>
              <w:spacing w:line="240" w:lineRule="exact"/>
              <w:jc w:val="center"/>
              <w:rPr>
                <w:color w:val="auto"/>
                <w:kern w:val="0"/>
                <w:sz w:val="24"/>
              </w:rPr>
            </w:pPr>
            <w:r>
              <w:rPr>
                <w:rFonts w:hint="eastAsia"/>
                <w:color w:val="auto"/>
                <w:kern w:val="0"/>
                <w:sz w:val="24"/>
              </w:rPr>
              <w:t>油桐</w:t>
            </w:r>
          </w:p>
        </w:tc>
        <w:tc>
          <w:tcPr>
            <w:tcW w:w="1179" w:type="dxa"/>
            <w:tcBorders>
              <w:top w:val="nil"/>
              <w:left w:val="nil"/>
              <w:bottom w:val="single" w:color="auto" w:sz="4" w:space="0"/>
              <w:right w:val="single" w:color="auto" w:sz="4" w:space="0"/>
            </w:tcBorders>
            <w:noWrap w:val="0"/>
            <w:vAlign w:val="center"/>
          </w:tcPr>
          <w:p>
            <w:pPr>
              <w:spacing w:line="240" w:lineRule="exact"/>
              <w:jc w:val="center"/>
              <w:rPr>
                <w:color w:val="auto"/>
                <w:kern w:val="0"/>
                <w:sz w:val="24"/>
              </w:rPr>
            </w:pPr>
            <w:r>
              <w:rPr>
                <w:color w:val="auto"/>
                <w:kern w:val="0"/>
                <w:sz w:val="24"/>
              </w:rPr>
              <w:t>2000</w:t>
            </w:r>
          </w:p>
        </w:tc>
        <w:tc>
          <w:tcPr>
            <w:tcW w:w="1179" w:type="dxa"/>
            <w:tcBorders>
              <w:top w:val="single" w:color="auto" w:sz="4" w:space="0"/>
              <w:left w:val="nil"/>
              <w:bottom w:val="single" w:color="auto" w:sz="4" w:space="0"/>
              <w:right w:val="single" w:color="auto" w:sz="4" w:space="0"/>
            </w:tcBorders>
            <w:noWrap w:val="0"/>
            <w:vAlign w:val="center"/>
          </w:tcPr>
          <w:p>
            <w:pPr>
              <w:spacing w:line="240" w:lineRule="exact"/>
              <w:jc w:val="center"/>
              <w:rPr>
                <w:color w:val="auto"/>
                <w:kern w:val="0"/>
                <w:sz w:val="24"/>
              </w:rPr>
            </w:pPr>
            <w:r>
              <w:rPr>
                <w:color w:val="auto"/>
                <w:kern w:val="0"/>
                <w:sz w:val="24"/>
              </w:rPr>
              <w:t>6000</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auto"/>
                <w:kern w:val="0"/>
                <w:sz w:val="24"/>
              </w:rPr>
            </w:pPr>
            <w:r>
              <w:rPr>
                <w:color w:val="auto"/>
                <w:kern w:val="0"/>
                <w:sz w:val="24"/>
              </w:rPr>
              <w:t>9000</w:t>
            </w:r>
          </w:p>
        </w:tc>
        <w:tc>
          <w:tcPr>
            <w:tcW w:w="4554"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3</w:t>
            </w:r>
          </w:p>
        </w:tc>
        <w:tc>
          <w:tcPr>
            <w:tcW w:w="1116" w:type="dxa"/>
            <w:tcBorders>
              <w:top w:val="nil"/>
              <w:left w:val="nil"/>
              <w:bottom w:val="single" w:color="auto" w:sz="4" w:space="0"/>
              <w:right w:val="single" w:color="auto" w:sz="4" w:space="0"/>
            </w:tcBorders>
            <w:noWrap w:val="0"/>
            <w:vAlign w:val="center"/>
          </w:tcPr>
          <w:p>
            <w:pPr>
              <w:spacing w:line="360" w:lineRule="auto"/>
              <w:jc w:val="center"/>
              <w:rPr>
                <w:color w:val="auto"/>
                <w:kern w:val="0"/>
                <w:sz w:val="24"/>
              </w:rPr>
            </w:pPr>
            <w:r>
              <w:rPr>
                <w:rFonts w:hint="eastAsia"/>
                <w:color w:val="auto"/>
                <w:kern w:val="0"/>
                <w:sz w:val="24"/>
              </w:rPr>
              <w:t>茶叶</w:t>
            </w:r>
          </w:p>
        </w:tc>
        <w:tc>
          <w:tcPr>
            <w:tcW w:w="1179" w:type="dxa"/>
            <w:tcBorders>
              <w:top w:val="nil"/>
              <w:left w:val="nil"/>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3000</w:t>
            </w:r>
          </w:p>
        </w:tc>
        <w:tc>
          <w:tcPr>
            <w:tcW w:w="1179" w:type="dxa"/>
            <w:tcBorders>
              <w:top w:val="single" w:color="auto" w:sz="4" w:space="0"/>
              <w:left w:val="nil"/>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9000</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12000</w:t>
            </w:r>
          </w:p>
        </w:tc>
        <w:tc>
          <w:tcPr>
            <w:tcW w:w="4554"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4</w:t>
            </w:r>
          </w:p>
        </w:tc>
        <w:tc>
          <w:tcPr>
            <w:tcW w:w="1116" w:type="dxa"/>
            <w:tcBorders>
              <w:top w:val="nil"/>
              <w:left w:val="nil"/>
              <w:bottom w:val="single" w:color="auto" w:sz="4" w:space="0"/>
              <w:right w:val="single" w:color="auto" w:sz="4" w:space="0"/>
            </w:tcBorders>
            <w:noWrap w:val="0"/>
            <w:vAlign w:val="center"/>
          </w:tcPr>
          <w:p>
            <w:pPr>
              <w:spacing w:line="360" w:lineRule="auto"/>
              <w:jc w:val="center"/>
              <w:rPr>
                <w:color w:val="auto"/>
                <w:kern w:val="0"/>
                <w:sz w:val="24"/>
              </w:rPr>
            </w:pPr>
            <w:r>
              <w:rPr>
                <w:rFonts w:hint="eastAsia"/>
                <w:color w:val="auto"/>
                <w:kern w:val="0"/>
                <w:sz w:val="24"/>
              </w:rPr>
              <w:t>板栗</w:t>
            </w:r>
          </w:p>
        </w:tc>
        <w:tc>
          <w:tcPr>
            <w:tcW w:w="1179" w:type="dxa"/>
            <w:tcBorders>
              <w:top w:val="nil"/>
              <w:left w:val="nil"/>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2500</w:t>
            </w:r>
          </w:p>
        </w:tc>
        <w:tc>
          <w:tcPr>
            <w:tcW w:w="1179" w:type="dxa"/>
            <w:tcBorders>
              <w:top w:val="single" w:color="auto" w:sz="4" w:space="0"/>
              <w:left w:val="nil"/>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5000</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auto"/>
                <w:kern w:val="0"/>
                <w:sz w:val="24"/>
              </w:rPr>
            </w:pPr>
            <w:r>
              <w:rPr>
                <w:color w:val="auto"/>
                <w:kern w:val="0"/>
                <w:sz w:val="24"/>
              </w:rPr>
              <w:t>8000</w:t>
            </w:r>
          </w:p>
        </w:tc>
        <w:tc>
          <w:tcPr>
            <w:tcW w:w="4554"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bl>
    <w:p>
      <w:pPr>
        <w:rPr>
          <w:rFonts w:eastAsia="黑体"/>
          <w:color w:val="auto"/>
          <w:sz w:val="30"/>
          <w:szCs w:val="30"/>
        </w:rPr>
      </w:pPr>
    </w:p>
    <w:p>
      <w:pPr>
        <w:rPr>
          <w:rFonts w:hint="eastAsia" w:ascii="方正黑体简体" w:eastAsia="方正黑体简体" w:cs="仿宋"/>
          <w:color w:val="auto"/>
          <w:sz w:val="32"/>
          <w:szCs w:val="32"/>
        </w:rPr>
      </w:pPr>
      <w:r>
        <w:rPr>
          <w:rFonts w:eastAsia="黑体"/>
          <w:color w:val="auto"/>
          <w:sz w:val="30"/>
          <w:szCs w:val="30"/>
        </w:rPr>
        <w:br w:type="page"/>
      </w:r>
      <w:r>
        <w:rPr>
          <w:rFonts w:hint="eastAsia" w:ascii="仿宋" w:hAnsi="仿宋" w:eastAsia="仿宋" w:cs="仿宋"/>
          <w:color w:val="auto"/>
          <w:sz w:val="32"/>
          <w:szCs w:val="32"/>
        </w:rPr>
        <w:t>附件5</w:t>
      </w:r>
    </w:p>
    <w:p>
      <w:pPr>
        <w:rPr>
          <w:color w:val="auto"/>
        </w:rPr>
      </w:pPr>
    </w:p>
    <w:p>
      <w:pPr>
        <w:spacing w:line="660" w:lineRule="exact"/>
        <w:jc w:val="center"/>
        <w:rPr>
          <w:rFonts w:hint="eastAsia" w:ascii="方正小标宋简体" w:eastAsia="方正小标宋简体" w:cs="黑体"/>
          <w:bCs/>
          <w:color w:val="auto"/>
          <w:sz w:val="44"/>
          <w:szCs w:val="44"/>
        </w:rPr>
      </w:pPr>
      <w:r>
        <w:rPr>
          <w:rFonts w:hint="eastAsia" w:ascii="方正小标宋简体" w:eastAsia="方正小标宋简体" w:cs="黑体"/>
          <w:bCs/>
          <w:color w:val="auto"/>
          <w:sz w:val="44"/>
          <w:szCs w:val="44"/>
          <w:lang w:val="en-US" w:eastAsia="zh-CN"/>
        </w:rPr>
        <w:t>新晃县</w:t>
      </w:r>
      <w:r>
        <w:rPr>
          <w:rFonts w:hint="eastAsia" w:ascii="方正小标宋简体" w:eastAsia="方正小标宋简体" w:cs="黑体"/>
          <w:bCs/>
          <w:color w:val="auto"/>
          <w:sz w:val="44"/>
          <w:szCs w:val="44"/>
        </w:rPr>
        <w:t>征收建设用地范围内零星树木、竹类、果树、经济林、苗木、花卉的青苗补偿标准</w:t>
      </w:r>
    </w:p>
    <w:p>
      <w:pPr>
        <w:rPr>
          <w:b/>
          <w:bCs/>
          <w:color w:val="auto"/>
          <w:sz w:val="24"/>
        </w:rPr>
      </w:pPr>
    </w:p>
    <w:p>
      <w:pPr>
        <w:rPr>
          <w:bCs/>
          <w:color w:val="auto"/>
          <w:kern w:val="0"/>
          <w:sz w:val="24"/>
        </w:rPr>
      </w:pPr>
      <w:r>
        <w:rPr>
          <w:rFonts w:hint="eastAsia"/>
          <w:bCs/>
          <w:color w:val="auto"/>
          <w:kern w:val="0"/>
          <w:sz w:val="24"/>
        </w:rPr>
        <w:t>征收建设用地范围内零星树木、竹类青苗补偿标准：　　　　　　　　　（元</w:t>
      </w:r>
      <w:r>
        <w:rPr>
          <w:bCs/>
          <w:color w:val="auto"/>
          <w:kern w:val="0"/>
          <w:sz w:val="24"/>
        </w:rPr>
        <w:t>/</w:t>
      </w:r>
      <w:r>
        <w:rPr>
          <w:rFonts w:hint="eastAsia"/>
          <w:bCs/>
          <w:color w:val="auto"/>
          <w:kern w:val="0"/>
          <w:sz w:val="24"/>
        </w:rPr>
        <w:t>株）</w:t>
      </w:r>
    </w:p>
    <w:tbl>
      <w:tblPr>
        <w:tblStyle w:val="7"/>
        <w:tblW w:w="9117"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397"/>
        <w:gridCol w:w="1476"/>
        <w:gridCol w:w="1042"/>
        <w:gridCol w:w="1012"/>
        <w:gridCol w:w="1012"/>
        <w:gridCol w:w="1012"/>
        <w:gridCol w:w="1012"/>
        <w:gridCol w:w="1012"/>
        <w:gridCol w:w="11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20" w:hRule="atLeast"/>
          <w:jc w:val="center"/>
        </w:trPr>
        <w:tc>
          <w:tcPr>
            <w:tcW w:w="3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color w:val="auto"/>
                <w:kern w:val="0"/>
                <w:sz w:val="24"/>
              </w:rPr>
            </w:pPr>
          </w:p>
          <w:p>
            <w:pPr>
              <w:spacing w:line="240" w:lineRule="exact"/>
              <w:jc w:val="center"/>
              <w:rPr>
                <w:color w:val="auto"/>
                <w:kern w:val="0"/>
                <w:sz w:val="24"/>
              </w:rPr>
            </w:pPr>
          </w:p>
          <w:p>
            <w:pPr>
              <w:jc w:val="center"/>
              <w:rPr>
                <w:color w:val="auto"/>
                <w:kern w:val="0"/>
                <w:sz w:val="24"/>
              </w:rPr>
            </w:pPr>
            <w:r>
              <w:rPr>
                <w:rFonts w:ascii="Calibri" w:hAnsi="Calibri"/>
                <w:color w:val="auto"/>
              </w:rPr>
              <mc:AlternateContent>
                <mc:Choice Requires="wps">
                  <w:drawing>
                    <wp:anchor distT="0" distB="0" distL="114300" distR="114300" simplePos="0" relativeHeight="251664384" behindDoc="0" locked="0" layoutInCell="1" allowOverlap="1">
                      <wp:simplePos x="0" y="0"/>
                      <wp:positionH relativeFrom="column">
                        <wp:posOffset>170180</wp:posOffset>
                      </wp:positionH>
                      <wp:positionV relativeFrom="paragraph">
                        <wp:posOffset>336550</wp:posOffset>
                      </wp:positionV>
                      <wp:extent cx="563880" cy="354330"/>
                      <wp:effectExtent l="0" t="0" r="0" b="0"/>
                      <wp:wrapNone/>
                      <wp:docPr id="7" name="文本框 7"/>
                      <wp:cNvGraphicFramePr/>
                      <a:graphic xmlns:a="http://schemas.openxmlformats.org/drawingml/2006/main">
                        <a:graphicData uri="http://schemas.microsoft.com/office/word/2010/wordprocessingShape">
                          <wps:wsp>
                            <wps:cNvSpPr txBox="1"/>
                            <wps:spPr>
                              <a:xfrm>
                                <a:off x="0" y="0"/>
                                <a:ext cx="563880" cy="354330"/>
                              </a:xfrm>
                              <a:prstGeom prst="rect">
                                <a:avLst/>
                              </a:prstGeom>
                              <a:noFill/>
                              <a:ln>
                                <a:noFill/>
                              </a:ln>
                            </wps:spPr>
                            <wps:txbx>
                              <w:txbxContent>
                                <w:p>
                                  <w:pPr>
                                    <w:rPr>
                                      <w:szCs w:val="21"/>
                                    </w:rPr>
                                  </w:pPr>
                                  <w:r>
                                    <w:rPr>
                                      <w:rFonts w:hint="eastAsia"/>
                                      <w:szCs w:val="21"/>
                                    </w:rPr>
                                    <w:t>名称</w:t>
                                  </w:r>
                                </w:p>
                              </w:txbxContent>
                            </wps:txbx>
                            <wps:bodyPr upright="1"/>
                          </wps:wsp>
                        </a:graphicData>
                      </a:graphic>
                    </wp:anchor>
                  </w:drawing>
                </mc:Choice>
                <mc:Fallback>
                  <w:pict>
                    <v:shape id="_x0000_s1026" o:spid="_x0000_s1026" o:spt="202" type="#_x0000_t202" style="position:absolute;left:0pt;margin-left:13.4pt;margin-top:26.5pt;height:27.9pt;width:44.4pt;z-index:251664384;mso-width-relative:page;mso-height-relative:page;" filled="f" stroked="f" coordsize="21600,21600" o:gfxdata="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zeiCtYAAAAJAQAADwAAAAAAAAABACAAAAAiAAAAZHJzL2Rvd25y&#10;ZXYueG1sUEsBAhQAFAAAAAgAh07iQEzle0aOAQAA/wIAAA4AAAAAAAAAAQAgAAAAJQEAAGRycy9l&#10;Mm9Eb2MueG1sUEsFBgAAAAAGAAYAWQEAACUFAAAAAA==&#10;">
                      <v:fill on="f" focussize="0,0"/>
                      <v:stroke on="f"/>
                      <v:imagedata o:title=""/>
                      <o:lock v:ext="edit" aspectratio="f"/>
                      <v:textbox>
                        <w:txbxContent>
                          <w:p>
                            <w:pPr>
                              <w:rPr>
                                <w:szCs w:val="21"/>
                              </w:rPr>
                            </w:pPr>
                            <w:r>
                              <w:rPr>
                                <w:rFonts w:hint="eastAsia"/>
                                <w:szCs w:val="21"/>
                              </w:rPr>
                              <w:t>名称</w:t>
                            </w:r>
                          </w:p>
                        </w:txbxContent>
                      </v:textbox>
                    </v:shape>
                  </w:pict>
                </mc:Fallback>
              </mc:AlternateContent>
            </w:r>
            <w:r>
              <w:rPr>
                <w:rFonts w:hint="eastAsia"/>
                <w:color w:val="auto"/>
                <w:kern w:val="0"/>
                <w:sz w:val="24"/>
              </w:rPr>
              <w:t>序号</w:t>
            </w:r>
          </w:p>
        </w:tc>
        <w:tc>
          <w:tcPr>
            <w:tcW w:w="1476" w:type="dxa"/>
            <w:vMerge w:val="restart"/>
            <w:tcBorders>
              <w:top w:val="single" w:color="auto" w:sz="4" w:space="0"/>
              <w:left w:val="single" w:color="auto" w:sz="4" w:space="0"/>
              <w:bottom w:val="nil"/>
              <w:right w:val="single" w:color="auto" w:sz="4" w:space="0"/>
            </w:tcBorders>
            <w:noWrap w:val="0"/>
            <w:vAlign w:val="center"/>
          </w:tcPr>
          <w:p>
            <w:pPr>
              <w:jc w:val="center"/>
              <w:rPr>
                <w:rFonts w:eastAsia="仿宋_GB2312"/>
                <w:color w:val="auto"/>
                <w:kern w:val="0"/>
                <w:sz w:val="24"/>
              </w:rPr>
            </w:pPr>
            <w:r>
              <w:rPr>
                <w:rFonts w:ascii="Calibri" w:hAnsi="Calibri"/>
                <w:color w:val="auto"/>
              </w:rPr>
              <mc:AlternateContent>
                <mc:Choice Requires="wps">
                  <w:drawing>
                    <wp:anchor distT="0" distB="0" distL="114300" distR="114300" simplePos="0" relativeHeight="251667456" behindDoc="0" locked="0" layoutInCell="1" allowOverlap="1">
                      <wp:simplePos x="0" y="0"/>
                      <wp:positionH relativeFrom="column">
                        <wp:posOffset>86995</wp:posOffset>
                      </wp:positionH>
                      <wp:positionV relativeFrom="paragraph">
                        <wp:posOffset>366395</wp:posOffset>
                      </wp:positionV>
                      <wp:extent cx="556895" cy="354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6895" cy="354330"/>
                              </a:xfrm>
                              <a:prstGeom prst="rect">
                                <a:avLst/>
                              </a:prstGeom>
                              <a:noFill/>
                              <a:ln>
                                <a:noFill/>
                              </a:ln>
                            </wps:spPr>
                            <wps:txbx>
                              <w:txbxContent>
                                <w:p>
                                  <w:pPr>
                                    <w:rPr>
                                      <w:szCs w:val="21"/>
                                    </w:rPr>
                                  </w:pPr>
                                  <w:r>
                                    <w:rPr>
                                      <w:rFonts w:hint="eastAsia"/>
                                      <w:szCs w:val="21"/>
                                    </w:rPr>
                                    <w:t>金额</w:t>
                                  </w:r>
                                </w:p>
                              </w:txbxContent>
                            </wps:txbx>
                            <wps:bodyPr upright="1"/>
                          </wps:wsp>
                        </a:graphicData>
                      </a:graphic>
                    </wp:anchor>
                  </w:drawing>
                </mc:Choice>
                <mc:Fallback>
                  <w:pict>
                    <v:shape id="_x0000_s1026" o:spid="_x0000_s1026" o:spt="202" type="#_x0000_t202" style="position:absolute;left:0pt;margin-left:6.85pt;margin-top:28.85pt;height:27.9pt;width:43.85pt;z-index:251667456;mso-width-relative:page;mso-height-relative:page;" filled="f" stroked="f" coordsize="21600,21600" o:gfxdata="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ROjW31QAAAAkBAAAPAAAAAAAAAAEAIAAAACIAAABkcnMvZG93bnJl&#10;di54bWxQSwECFAAUAAAACACHTuJAE9Lf7o4BAAD/AgAADgAAAAAAAAABACAAAAAkAQAAZHJzL2Uy&#10;b0RvYy54bWxQSwUGAAAAAAYABgBZAQAAJAUAAAAA&#10;">
                      <v:fill on="f" focussize="0,0"/>
                      <v:stroke on="f"/>
                      <v:imagedata o:title=""/>
                      <o:lock v:ext="edit" aspectratio="f"/>
                      <v:textbox>
                        <w:txbxContent>
                          <w:p>
                            <w:pPr>
                              <w:rPr>
                                <w:szCs w:val="21"/>
                              </w:rPr>
                            </w:pPr>
                            <w:r>
                              <w:rPr>
                                <w:rFonts w:hint="eastAsia"/>
                                <w:szCs w:val="21"/>
                              </w:rPr>
                              <w:t>金额</w:t>
                            </w:r>
                          </w:p>
                        </w:txbxContent>
                      </v:textbox>
                    </v:shape>
                  </w:pict>
                </mc:Fallback>
              </mc:AlternateContent>
            </w:r>
            <w:r>
              <w:rPr>
                <w:rFonts w:ascii="Calibri" w:hAnsi="Calibri"/>
                <w:color w:val="auto"/>
              </w:rPr>
              <mc:AlternateContent>
                <mc:Choice Requires="wps">
                  <w:drawing>
                    <wp:anchor distT="0" distB="0" distL="114300" distR="114300" simplePos="0" relativeHeight="251668480" behindDoc="0" locked="0" layoutInCell="1" allowOverlap="1">
                      <wp:simplePos x="0" y="0"/>
                      <wp:positionH relativeFrom="column">
                        <wp:posOffset>459740</wp:posOffset>
                      </wp:positionH>
                      <wp:positionV relativeFrom="paragraph">
                        <wp:posOffset>105410</wp:posOffset>
                      </wp:positionV>
                      <wp:extent cx="563880" cy="3543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3880" cy="354330"/>
                              </a:xfrm>
                              <a:prstGeom prst="rect">
                                <a:avLst/>
                              </a:prstGeom>
                              <a:noFill/>
                              <a:ln>
                                <a:noFill/>
                              </a:ln>
                            </wps:spPr>
                            <wps:txbx>
                              <w:txbxContent>
                                <w:p>
                                  <w:pPr>
                                    <w:rPr>
                                      <w:szCs w:val="21"/>
                                    </w:rPr>
                                  </w:pPr>
                                  <w:r>
                                    <w:rPr>
                                      <w:rFonts w:hint="eastAsia"/>
                                      <w:szCs w:val="21"/>
                                    </w:rPr>
                                    <w:t>规格</w:t>
                                  </w:r>
                                </w:p>
                              </w:txbxContent>
                            </wps:txbx>
                            <wps:bodyPr upright="1"/>
                          </wps:wsp>
                        </a:graphicData>
                      </a:graphic>
                    </wp:anchor>
                  </w:drawing>
                </mc:Choice>
                <mc:Fallback>
                  <w:pict>
                    <v:shape id="_x0000_s1026" o:spid="_x0000_s1026" o:spt="202" type="#_x0000_t202" style="position:absolute;left:0pt;margin-left:36.2pt;margin-top:8.3pt;height:27.9pt;width:44.4pt;z-index:251668480;mso-width-relative:page;mso-height-relative:page;" filled="f" stroked="f" coordsize="21600,21600" o:gfxdata="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V/Gh8tQAAAAIAQAADwAAAAAAAAABACAAAAAiAAAAZHJzL2Rvd25yZXYu&#10;eG1sUEsBAhQAFAAAAAgAh07iQApZZgyNAQAA/wIAAA4AAAAAAAAAAQAgAAAAIwEAAGRycy9lMm9E&#10;b2MueG1sUEsFBgAAAAAGAAYAWQEAACIFAAAAAA==&#10;">
                      <v:fill on="f" focussize="0,0"/>
                      <v:stroke on="f"/>
                      <v:imagedata o:title=""/>
                      <o:lock v:ext="edit" aspectratio="f"/>
                      <v:textbox>
                        <w:txbxContent>
                          <w:p>
                            <w:pPr>
                              <w:rPr>
                                <w:szCs w:val="21"/>
                              </w:rPr>
                            </w:pPr>
                            <w:r>
                              <w:rPr>
                                <w:rFonts w:hint="eastAsia"/>
                                <w:szCs w:val="21"/>
                              </w:rPr>
                              <w:t>规格</w:t>
                            </w:r>
                          </w:p>
                        </w:txbxContent>
                      </v:textbox>
                    </v:shape>
                  </w:pict>
                </mc:Fallback>
              </mc:AlternateContent>
            </w:r>
            <w:r>
              <w:rPr>
                <w:rFonts w:ascii="Calibri" w:hAnsi="Calibri"/>
                <w:color w:val="auto"/>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561340</wp:posOffset>
                      </wp:positionV>
                      <wp:extent cx="984250" cy="380365"/>
                      <wp:effectExtent l="1905" t="4445" r="4445" b="15240"/>
                      <wp:wrapNone/>
                      <wp:docPr id="9" name="直接连接符 9"/>
                      <wp:cNvGraphicFramePr/>
                      <a:graphic xmlns:a="http://schemas.openxmlformats.org/drawingml/2006/main">
                        <a:graphicData uri="http://schemas.microsoft.com/office/word/2010/wordprocessingShape">
                          <wps:wsp>
                            <wps:cNvCnPr/>
                            <wps:spPr>
                              <a:xfrm>
                                <a:off x="0" y="0"/>
                                <a:ext cx="984250" cy="3803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44.2pt;height:29.95pt;width:77.5pt;z-index:251665408;mso-width-relative:page;mso-height-relative:page;" filled="f" stroked="t" coordsize="21600,21600" o:gfxdata="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cSGlA1wAAAAoBAAAPAAAA&#10;AAAAAAEAIAAAACIAAABkcnMvZG93bnJldi54bWxQSwECFAAUAAAACACHTuJAnvxlyt0BAACaAwAA&#10;DgAAAAAAAAABACAAAAAmAQAAZHJzL2Uyb0RvYy54bWxQSwUGAAAAAAYABgBZAQAAdQUAAAAA&#10;">
                      <v:fill on="f" focussize="0,0"/>
                      <v:stroke color="#000000" joinstyle="round"/>
                      <v:imagedata o:title=""/>
                      <o:lock v:ext="edit" aspectratio="f"/>
                    </v:line>
                  </w:pict>
                </mc:Fallback>
              </mc:AlternateContent>
            </w:r>
            <w:r>
              <w:rPr>
                <w:rFonts w:ascii="Calibri" w:hAnsi="Calibri"/>
                <w:color w:val="auto"/>
              </w:rPr>
              <mc:AlternateContent>
                <mc:Choice Requires="wps">
                  <w:drawing>
                    <wp:anchor distT="0" distB="0" distL="114300" distR="114300" simplePos="0" relativeHeight="251666432" behindDoc="0" locked="0" layoutInCell="1" allowOverlap="1">
                      <wp:simplePos x="0" y="0"/>
                      <wp:positionH relativeFrom="column">
                        <wp:posOffset>347980</wp:posOffset>
                      </wp:positionH>
                      <wp:positionV relativeFrom="paragraph">
                        <wp:posOffset>25400</wp:posOffset>
                      </wp:positionV>
                      <wp:extent cx="544195" cy="890905"/>
                      <wp:effectExtent l="3810" t="2540" r="4445" b="20955"/>
                      <wp:wrapNone/>
                      <wp:docPr id="10" name="直接连接符 10"/>
                      <wp:cNvGraphicFramePr/>
                      <a:graphic xmlns:a="http://schemas.openxmlformats.org/drawingml/2006/main">
                        <a:graphicData uri="http://schemas.microsoft.com/office/word/2010/wordprocessingShape">
                          <wps:wsp>
                            <wps:cNvCnPr/>
                            <wps:spPr>
                              <a:xfrm>
                                <a:off x="0" y="0"/>
                                <a:ext cx="544195" cy="890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4pt;margin-top:2pt;height:70.15pt;width:42.85pt;z-index:251666432;mso-width-relative:page;mso-height-relative:page;" filled="f" stroked="t" coordsize="21600,21600" o:gfxdata="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aaw5NUAAAAIAQAADwAAAAAA&#10;AAABACAAAAAiAAAAZHJzL2Rvd25yZXYueG1sUEsBAhQAFAAAAAgAh07iQM6NMJDdAQAAnAMAAA4A&#10;AAAAAAAAAQAgAAAAJAEAAGRycy9lMm9Eb2MueG1sUEsFBgAAAAAGAAYAWQEAAHMFAAAAAA==&#10;">
                      <v:fill on="f" focussize="0,0"/>
                      <v:stroke color="#000000" joinstyle="round"/>
                      <v:imagedata o:title=""/>
                      <o:lock v:ext="edit" aspectratio="f"/>
                    </v:line>
                  </w:pict>
                </mc:Fallback>
              </mc:AlternateContent>
            </w:r>
            <w:r>
              <w:rPr>
                <w:rFonts w:hint="eastAsia" w:eastAsia="仿宋_GB2312"/>
                <w:color w:val="auto"/>
                <w:kern w:val="0"/>
                <w:sz w:val="24"/>
              </w:rPr>
              <w:t>　</w:t>
            </w:r>
          </w:p>
        </w:tc>
        <w:tc>
          <w:tcPr>
            <w:tcW w:w="3066" w:type="dxa"/>
            <w:gridSpan w:val="3"/>
            <w:tcBorders>
              <w:top w:val="single" w:color="auto" w:sz="4" w:space="0"/>
              <w:left w:val="nil"/>
              <w:bottom w:val="single" w:color="auto" w:sz="4" w:space="0"/>
              <w:right w:val="single" w:color="000000" w:sz="4" w:space="0"/>
            </w:tcBorders>
            <w:noWrap w:val="0"/>
            <w:vAlign w:val="center"/>
          </w:tcPr>
          <w:p>
            <w:pPr>
              <w:jc w:val="center"/>
              <w:rPr>
                <w:color w:val="auto"/>
                <w:kern w:val="0"/>
                <w:sz w:val="24"/>
              </w:rPr>
            </w:pPr>
            <w:r>
              <w:rPr>
                <w:rFonts w:hint="eastAsia"/>
                <w:color w:val="auto"/>
                <w:kern w:val="0"/>
                <w:sz w:val="24"/>
              </w:rPr>
              <w:t>苗</w:t>
            </w:r>
            <w:r>
              <w:rPr>
                <w:color w:val="auto"/>
                <w:kern w:val="0"/>
                <w:sz w:val="24"/>
              </w:rPr>
              <w:t xml:space="preserve">      </w:t>
            </w:r>
            <w:r>
              <w:rPr>
                <w:rFonts w:hint="eastAsia"/>
                <w:color w:val="auto"/>
                <w:kern w:val="0"/>
                <w:sz w:val="24"/>
              </w:rPr>
              <w:t>高</w:t>
            </w:r>
          </w:p>
        </w:tc>
        <w:tc>
          <w:tcPr>
            <w:tcW w:w="3036" w:type="dxa"/>
            <w:gridSpan w:val="3"/>
            <w:tcBorders>
              <w:top w:val="single" w:color="auto" w:sz="4" w:space="0"/>
              <w:left w:val="nil"/>
              <w:bottom w:val="single" w:color="auto" w:sz="4" w:space="0"/>
              <w:right w:val="single" w:color="000000" w:sz="4" w:space="0"/>
            </w:tcBorders>
            <w:noWrap w:val="0"/>
            <w:vAlign w:val="center"/>
          </w:tcPr>
          <w:p>
            <w:pPr>
              <w:jc w:val="center"/>
              <w:rPr>
                <w:color w:val="auto"/>
                <w:kern w:val="0"/>
                <w:sz w:val="24"/>
              </w:rPr>
            </w:pPr>
            <w:r>
              <w:rPr>
                <w:rFonts w:hint="eastAsia"/>
                <w:color w:val="auto"/>
                <w:kern w:val="0"/>
                <w:sz w:val="24"/>
              </w:rPr>
              <w:t>胸</w:t>
            </w:r>
            <w:r>
              <w:rPr>
                <w:color w:val="auto"/>
                <w:kern w:val="0"/>
                <w:sz w:val="24"/>
              </w:rPr>
              <w:t xml:space="preserve">      </w:t>
            </w:r>
            <w:r>
              <w:rPr>
                <w:rFonts w:hint="eastAsia"/>
                <w:color w:val="auto"/>
                <w:kern w:val="0"/>
                <w:sz w:val="24"/>
              </w:rPr>
              <w:t>径</w:t>
            </w:r>
          </w:p>
        </w:tc>
        <w:tc>
          <w:tcPr>
            <w:tcW w:w="114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1014" w:hRule="atLeast"/>
          <w:jc w:val="center"/>
        </w:trPr>
        <w:tc>
          <w:tcPr>
            <w:tcW w:w="39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476" w:type="dxa"/>
            <w:vMerge w:val="continue"/>
            <w:tcBorders>
              <w:top w:val="single" w:color="auto" w:sz="4" w:space="0"/>
              <w:left w:val="single" w:color="auto" w:sz="4" w:space="0"/>
              <w:bottom w:val="nil"/>
              <w:right w:val="single" w:color="auto" w:sz="4" w:space="0"/>
            </w:tcBorders>
            <w:noWrap w:val="0"/>
            <w:vAlign w:val="center"/>
          </w:tcPr>
          <w:p>
            <w:pPr>
              <w:rPr>
                <w:color w:val="auto"/>
              </w:rPr>
            </w:pPr>
          </w:p>
        </w:tc>
        <w:tc>
          <w:tcPr>
            <w:tcW w:w="1042" w:type="dxa"/>
            <w:tcBorders>
              <w:top w:val="nil"/>
              <w:left w:val="nil"/>
              <w:right w:val="single" w:color="auto" w:sz="4" w:space="0"/>
            </w:tcBorders>
            <w:noWrap w:val="0"/>
            <w:vAlign w:val="center"/>
          </w:tcPr>
          <w:p>
            <w:pPr>
              <w:jc w:val="center"/>
              <w:rPr>
                <w:rFonts w:hint="eastAsia" w:ascii="宋体"/>
                <w:color w:val="auto"/>
                <w:spacing w:val="-12"/>
                <w:kern w:val="0"/>
                <w:sz w:val="24"/>
              </w:rPr>
            </w:pPr>
            <w:r>
              <w:rPr>
                <w:rFonts w:hint="eastAsia" w:ascii="宋体"/>
                <w:color w:val="auto"/>
                <w:spacing w:val="-12"/>
                <w:kern w:val="0"/>
                <w:sz w:val="24"/>
              </w:rPr>
              <w:t>1米以下</w:t>
            </w:r>
          </w:p>
        </w:tc>
        <w:tc>
          <w:tcPr>
            <w:tcW w:w="1012" w:type="dxa"/>
            <w:tcBorders>
              <w:top w:val="nil"/>
              <w:left w:val="nil"/>
              <w:right w:val="single" w:color="auto" w:sz="4" w:space="0"/>
            </w:tcBorders>
            <w:noWrap w:val="0"/>
            <w:vAlign w:val="center"/>
          </w:tcPr>
          <w:p>
            <w:pPr>
              <w:jc w:val="center"/>
              <w:rPr>
                <w:rFonts w:hint="eastAsia" w:ascii="宋体"/>
                <w:color w:val="auto"/>
                <w:spacing w:val="-12"/>
                <w:kern w:val="0"/>
                <w:sz w:val="24"/>
              </w:rPr>
            </w:pPr>
            <w:r>
              <w:rPr>
                <w:rFonts w:hint="eastAsia" w:ascii="宋体"/>
                <w:color w:val="auto"/>
                <w:spacing w:val="-12"/>
                <w:kern w:val="0"/>
                <w:sz w:val="24"/>
              </w:rPr>
              <w:t>1-2米</w:t>
            </w:r>
          </w:p>
        </w:tc>
        <w:tc>
          <w:tcPr>
            <w:tcW w:w="1012" w:type="dxa"/>
            <w:tcBorders>
              <w:top w:val="nil"/>
              <w:left w:val="nil"/>
              <w:right w:val="single" w:color="auto" w:sz="4" w:space="0"/>
            </w:tcBorders>
            <w:noWrap w:val="0"/>
            <w:vAlign w:val="center"/>
          </w:tcPr>
          <w:p>
            <w:pPr>
              <w:jc w:val="center"/>
              <w:rPr>
                <w:rFonts w:hint="eastAsia" w:ascii="宋体"/>
                <w:color w:val="auto"/>
                <w:spacing w:val="-12"/>
                <w:kern w:val="0"/>
                <w:sz w:val="24"/>
              </w:rPr>
            </w:pPr>
            <w:r>
              <w:rPr>
                <w:rFonts w:hint="eastAsia" w:ascii="宋体"/>
                <w:color w:val="auto"/>
                <w:spacing w:val="-12"/>
                <w:kern w:val="0"/>
                <w:sz w:val="24"/>
              </w:rPr>
              <w:t>2-3米</w:t>
            </w:r>
          </w:p>
        </w:tc>
        <w:tc>
          <w:tcPr>
            <w:tcW w:w="1012" w:type="dxa"/>
            <w:tcBorders>
              <w:top w:val="nil"/>
              <w:left w:val="nil"/>
              <w:right w:val="single" w:color="auto" w:sz="4" w:space="0"/>
            </w:tcBorders>
            <w:noWrap w:val="0"/>
            <w:vAlign w:val="center"/>
          </w:tcPr>
          <w:p>
            <w:pPr>
              <w:jc w:val="center"/>
              <w:rPr>
                <w:rFonts w:hint="eastAsia" w:ascii="宋体"/>
                <w:color w:val="auto"/>
                <w:spacing w:val="-12"/>
                <w:kern w:val="0"/>
                <w:sz w:val="24"/>
              </w:rPr>
            </w:pPr>
            <w:r>
              <w:rPr>
                <w:rFonts w:hint="eastAsia" w:ascii="宋体"/>
                <w:color w:val="auto"/>
                <w:spacing w:val="-12"/>
                <w:kern w:val="0"/>
                <w:sz w:val="24"/>
              </w:rPr>
              <w:t>2-3厘米</w:t>
            </w:r>
          </w:p>
        </w:tc>
        <w:tc>
          <w:tcPr>
            <w:tcW w:w="1012" w:type="dxa"/>
            <w:tcBorders>
              <w:top w:val="nil"/>
              <w:left w:val="nil"/>
              <w:right w:val="single" w:color="auto" w:sz="4" w:space="0"/>
            </w:tcBorders>
            <w:noWrap w:val="0"/>
            <w:vAlign w:val="center"/>
          </w:tcPr>
          <w:p>
            <w:pPr>
              <w:jc w:val="center"/>
              <w:rPr>
                <w:rFonts w:hint="eastAsia" w:ascii="宋体"/>
                <w:color w:val="auto"/>
                <w:spacing w:val="-12"/>
                <w:kern w:val="0"/>
                <w:sz w:val="24"/>
              </w:rPr>
            </w:pPr>
            <w:r>
              <w:rPr>
                <w:rFonts w:hint="eastAsia" w:ascii="宋体"/>
                <w:color w:val="auto"/>
                <w:spacing w:val="-12"/>
                <w:kern w:val="0"/>
                <w:sz w:val="24"/>
              </w:rPr>
              <w:t>3-5厘米</w:t>
            </w:r>
          </w:p>
        </w:tc>
        <w:tc>
          <w:tcPr>
            <w:tcW w:w="1012" w:type="dxa"/>
            <w:tcBorders>
              <w:top w:val="nil"/>
              <w:left w:val="nil"/>
              <w:right w:val="single" w:color="auto" w:sz="4" w:space="0"/>
            </w:tcBorders>
            <w:noWrap w:val="0"/>
            <w:vAlign w:val="center"/>
          </w:tcPr>
          <w:p>
            <w:pPr>
              <w:jc w:val="center"/>
              <w:rPr>
                <w:rFonts w:hint="eastAsia" w:ascii="宋体"/>
                <w:color w:val="auto"/>
                <w:spacing w:val="-12"/>
                <w:kern w:val="0"/>
                <w:sz w:val="24"/>
              </w:rPr>
            </w:pPr>
            <w:r>
              <w:rPr>
                <w:rFonts w:hint="eastAsia" w:ascii="宋体"/>
                <w:color w:val="auto"/>
                <w:spacing w:val="-12"/>
                <w:kern w:val="0"/>
                <w:sz w:val="24"/>
              </w:rPr>
              <w:t>5-6厘米</w:t>
            </w:r>
          </w:p>
        </w:tc>
        <w:tc>
          <w:tcPr>
            <w:tcW w:w="1142"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12"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1</w:t>
            </w:r>
          </w:p>
        </w:tc>
        <w:tc>
          <w:tcPr>
            <w:tcW w:w="1476" w:type="dxa"/>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樟树</w:t>
            </w:r>
          </w:p>
        </w:tc>
        <w:tc>
          <w:tcPr>
            <w:tcW w:w="104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30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5</w:t>
            </w:r>
            <w:r>
              <w:rPr>
                <w:color w:val="auto"/>
                <w:kern w:val="0"/>
                <w:sz w:val="24"/>
              </w:rPr>
              <w:t>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5</w:t>
            </w:r>
            <w:r>
              <w:rPr>
                <w:color w:val="auto"/>
                <w:kern w:val="0"/>
                <w:sz w:val="24"/>
              </w:rPr>
              <w:t>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80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110</w:t>
            </w:r>
          </w:p>
        </w:tc>
        <w:tc>
          <w:tcPr>
            <w:tcW w:w="1142" w:type="dxa"/>
            <w:vMerge w:val="restart"/>
            <w:tcBorders>
              <w:top w:val="nil"/>
              <w:left w:val="single" w:color="auto" w:sz="4" w:space="0"/>
              <w:bottom w:val="single" w:color="000000" w:sz="4" w:space="0"/>
              <w:right w:val="single" w:color="auto" w:sz="4" w:space="0"/>
            </w:tcBorders>
            <w:noWrap w:val="0"/>
            <w:vAlign w:val="center"/>
          </w:tcPr>
          <w:p>
            <w:pPr>
              <w:rPr>
                <w:color w:val="auto"/>
                <w:kern w:val="0"/>
                <w:sz w:val="24"/>
              </w:rPr>
            </w:pPr>
            <w:r>
              <w:rPr>
                <w:color w:val="auto"/>
                <w:kern w:val="0"/>
                <w:sz w:val="24"/>
              </w:rPr>
              <w:t>1. </w:t>
            </w:r>
            <w:r>
              <w:rPr>
                <w:rFonts w:hint="eastAsia"/>
                <w:color w:val="auto"/>
                <w:kern w:val="0"/>
                <w:sz w:val="24"/>
              </w:rPr>
              <w:t>树木超过表中最大胸径的，只付砍伐工资或移栽费用。</w:t>
            </w:r>
            <w:r>
              <w:rPr>
                <w:color w:val="auto"/>
                <w:kern w:val="0"/>
                <w:sz w:val="24"/>
              </w:rPr>
              <w:t>2. </w:t>
            </w:r>
            <w:r>
              <w:rPr>
                <w:rFonts w:hint="eastAsia"/>
                <w:color w:val="auto"/>
                <w:kern w:val="0"/>
                <w:sz w:val="24"/>
              </w:rPr>
              <w:t>胸径按树根部以上</w:t>
            </w:r>
            <w:r>
              <w:rPr>
                <w:color w:val="auto"/>
                <w:kern w:val="0"/>
                <w:sz w:val="24"/>
              </w:rPr>
              <w:t>1.3</w:t>
            </w:r>
            <w:r>
              <w:rPr>
                <w:rFonts w:hint="eastAsia"/>
                <w:color w:val="auto"/>
                <w:kern w:val="0"/>
                <w:sz w:val="24"/>
              </w:rPr>
              <w:t>米处计算。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2</w:t>
            </w:r>
          </w:p>
        </w:tc>
        <w:tc>
          <w:tcPr>
            <w:tcW w:w="1476"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梓、楠</w:t>
            </w:r>
          </w:p>
        </w:tc>
        <w:tc>
          <w:tcPr>
            <w:tcW w:w="104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w:t>
            </w:r>
            <w:r>
              <w:rPr>
                <w:color w:val="auto"/>
                <w:kern w:val="0"/>
                <w:sz w:val="24"/>
              </w:rPr>
              <w:t>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27</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38</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48</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55</w:t>
            </w:r>
          </w:p>
        </w:tc>
        <w:tc>
          <w:tcPr>
            <w:tcW w:w="1142"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3</w:t>
            </w:r>
          </w:p>
        </w:tc>
        <w:tc>
          <w:tcPr>
            <w:tcW w:w="1476"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杉树、松树</w:t>
            </w:r>
          </w:p>
        </w:tc>
        <w:tc>
          <w:tcPr>
            <w:tcW w:w="104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w:t>
            </w:r>
            <w:r>
              <w:rPr>
                <w:color w:val="auto"/>
                <w:kern w:val="0"/>
                <w:sz w:val="24"/>
              </w:rPr>
              <w:t>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27</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38</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50</w:t>
            </w:r>
          </w:p>
        </w:tc>
        <w:tc>
          <w:tcPr>
            <w:tcW w:w="1142"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4</w:t>
            </w:r>
          </w:p>
        </w:tc>
        <w:tc>
          <w:tcPr>
            <w:tcW w:w="1476"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桂花</w:t>
            </w:r>
          </w:p>
        </w:tc>
        <w:tc>
          <w:tcPr>
            <w:tcW w:w="104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3</w:t>
            </w:r>
            <w:r>
              <w:rPr>
                <w:color w:val="auto"/>
                <w:kern w:val="0"/>
                <w:sz w:val="24"/>
              </w:rPr>
              <w:t>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50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5</w:t>
            </w:r>
            <w:r>
              <w:rPr>
                <w:color w:val="auto"/>
                <w:kern w:val="0"/>
                <w:sz w:val="24"/>
              </w:rPr>
              <w:t>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8</w:t>
            </w:r>
            <w:r>
              <w:rPr>
                <w:color w:val="auto"/>
                <w:kern w:val="0"/>
                <w:sz w:val="24"/>
              </w:rPr>
              <w:t>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150</w:t>
            </w:r>
          </w:p>
        </w:tc>
        <w:tc>
          <w:tcPr>
            <w:tcW w:w="1142"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5</w:t>
            </w:r>
          </w:p>
        </w:tc>
        <w:tc>
          <w:tcPr>
            <w:tcW w:w="1476"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玉兰</w:t>
            </w:r>
          </w:p>
        </w:tc>
        <w:tc>
          <w:tcPr>
            <w:tcW w:w="104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50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60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90</w:t>
            </w:r>
          </w:p>
        </w:tc>
        <w:tc>
          <w:tcPr>
            <w:tcW w:w="1142"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6</w:t>
            </w:r>
          </w:p>
        </w:tc>
        <w:tc>
          <w:tcPr>
            <w:tcW w:w="1476"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铁树</w:t>
            </w:r>
          </w:p>
        </w:tc>
        <w:tc>
          <w:tcPr>
            <w:tcW w:w="104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60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w:t>
            </w:r>
            <w:r>
              <w:rPr>
                <w:rFonts w:hint="eastAsia"/>
                <w:color w:val="auto"/>
                <w:kern w:val="0"/>
                <w:sz w:val="24"/>
              </w:rPr>
              <w:t>5</w:t>
            </w:r>
            <w:r>
              <w:rPr>
                <w:color w:val="auto"/>
                <w:kern w:val="0"/>
                <w:sz w:val="24"/>
              </w:rPr>
              <w:t>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p>
        </w:tc>
        <w:tc>
          <w:tcPr>
            <w:tcW w:w="1142"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7</w:t>
            </w:r>
          </w:p>
        </w:tc>
        <w:tc>
          <w:tcPr>
            <w:tcW w:w="1476"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女贞、泡桐</w:t>
            </w:r>
          </w:p>
        </w:tc>
        <w:tc>
          <w:tcPr>
            <w:tcW w:w="104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40</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38</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45</w:t>
            </w:r>
          </w:p>
        </w:tc>
        <w:tc>
          <w:tcPr>
            <w:tcW w:w="1012"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5</w:t>
            </w:r>
            <w:r>
              <w:rPr>
                <w:color w:val="auto"/>
                <w:kern w:val="0"/>
                <w:sz w:val="24"/>
              </w:rPr>
              <w:t>0</w:t>
            </w:r>
          </w:p>
        </w:tc>
        <w:tc>
          <w:tcPr>
            <w:tcW w:w="1142"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17" w:hRule="atLeast"/>
          <w:jc w:val="center"/>
        </w:trPr>
        <w:tc>
          <w:tcPr>
            <w:tcW w:w="397"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8</w:t>
            </w:r>
          </w:p>
        </w:tc>
        <w:tc>
          <w:tcPr>
            <w:tcW w:w="1476"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楠竹、竹</w:t>
            </w:r>
          </w:p>
        </w:tc>
        <w:tc>
          <w:tcPr>
            <w:tcW w:w="6102" w:type="dxa"/>
            <w:gridSpan w:val="6"/>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每根围径</w:t>
            </w:r>
            <w:r>
              <w:rPr>
                <w:color w:val="auto"/>
                <w:kern w:val="0"/>
                <w:sz w:val="24"/>
              </w:rPr>
              <w:t>10—20</w:t>
            </w:r>
            <w:r>
              <w:rPr>
                <w:rFonts w:hint="eastAsia"/>
                <w:color w:val="auto"/>
                <w:kern w:val="0"/>
                <w:sz w:val="24"/>
              </w:rPr>
              <w:t>厘米补偿</w:t>
            </w:r>
            <w:r>
              <w:rPr>
                <w:color w:val="auto"/>
                <w:kern w:val="0"/>
                <w:sz w:val="24"/>
              </w:rPr>
              <w:t>26</w:t>
            </w:r>
            <w:r>
              <w:rPr>
                <w:rFonts w:hint="eastAsia"/>
                <w:color w:val="auto"/>
                <w:kern w:val="0"/>
                <w:sz w:val="24"/>
              </w:rPr>
              <w:t>元</w:t>
            </w:r>
          </w:p>
        </w:tc>
        <w:tc>
          <w:tcPr>
            <w:tcW w:w="1142"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r>
    </w:tbl>
    <w:p>
      <w:pPr>
        <w:rPr>
          <w:rFonts w:eastAsia="仿宋_GB2312"/>
          <w:b/>
          <w:bCs/>
          <w:color w:val="auto"/>
          <w:sz w:val="24"/>
        </w:rPr>
      </w:pPr>
    </w:p>
    <w:p>
      <w:pPr>
        <w:rPr>
          <w:bCs/>
          <w:color w:val="auto"/>
          <w:sz w:val="24"/>
        </w:rPr>
      </w:pPr>
      <w:r>
        <w:rPr>
          <w:rFonts w:hint="eastAsia"/>
          <w:bCs/>
          <w:color w:val="auto"/>
          <w:kern w:val="0"/>
          <w:sz w:val="24"/>
        </w:rPr>
        <w:t>征收建设用地范围内零星果树、经济林类青苗补偿标准：　　　　　　　（元</w:t>
      </w:r>
      <w:r>
        <w:rPr>
          <w:bCs/>
          <w:color w:val="auto"/>
          <w:kern w:val="0"/>
          <w:sz w:val="24"/>
        </w:rPr>
        <w:t>/</w:t>
      </w:r>
      <w:r>
        <w:rPr>
          <w:rFonts w:hint="eastAsia"/>
          <w:bCs/>
          <w:color w:val="auto"/>
          <w:kern w:val="0"/>
          <w:sz w:val="24"/>
        </w:rPr>
        <w:t>株）</w:t>
      </w:r>
    </w:p>
    <w:tbl>
      <w:tblPr>
        <w:tblStyle w:val="7"/>
        <w:tblW w:w="9297"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151"/>
        <w:gridCol w:w="2724"/>
        <w:gridCol w:w="1844"/>
        <w:gridCol w:w="1844"/>
        <w:gridCol w:w="17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612" w:hRule="atLeast"/>
          <w:jc w:val="center"/>
        </w:trPr>
        <w:tc>
          <w:tcPr>
            <w:tcW w:w="115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Cs/>
                <w:color w:val="auto"/>
                <w:kern w:val="0"/>
                <w:sz w:val="24"/>
              </w:rPr>
            </w:pPr>
            <w:r>
              <w:rPr>
                <w:rFonts w:hint="eastAsia"/>
                <w:bCs/>
                <w:color w:val="auto"/>
                <w:kern w:val="0"/>
                <w:sz w:val="24"/>
              </w:rPr>
              <w:t>序号</w:t>
            </w:r>
          </w:p>
        </w:tc>
        <w:tc>
          <w:tcPr>
            <w:tcW w:w="2724" w:type="dxa"/>
            <w:tcBorders>
              <w:top w:val="single" w:color="auto" w:sz="4" w:space="0"/>
              <w:left w:val="nil"/>
              <w:bottom w:val="single" w:color="auto" w:sz="4" w:space="0"/>
              <w:right w:val="single" w:color="auto" w:sz="4" w:space="0"/>
            </w:tcBorders>
            <w:noWrap w:val="0"/>
            <w:vAlign w:val="center"/>
          </w:tcPr>
          <w:p>
            <w:pPr>
              <w:spacing w:line="300" w:lineRule="exact"/>
              <w:jc w:val="center"/>
              <w:rPr>
                <w:bCs/>
                <w:color w:val="auto"/>
                <w:kern w:val="0"/>
                <w:sz w:val="24"/>
              </w:rPr>
            </w:pPr>
            <w:r>
              <w:rPr>
                <w:rFonts w:hint="eastAsia"/>
                <w:bCs/>
                <w:color w:val="auto"/>
                <w:kern w:val="0"/>
                <w:sz w:val="24"/>
              </w:rPr>
              <w:t>项</w:t>
            </w:r>
            <w:r>
              <w:rPr>
                <w:bCs/>
                <w:color w:val="auto"/>
                <w:kern w:val="0"/>
                <w:sz w:val="24"/>
              </w:rPr>
              <w:t xml:space="preserve"> </w:t>
            </w:r>
            <w:r>
              <w:rPr>
                <w:rFonts w:hint="eastAsia"/>
                <w:bCs/>
                <w:color w:val="auto"/>
                <w:kern w:val="0"/>
                <w:sz w:val="24"/>
              </w:rPr>
              <w:t>目</w:t>
            </w:r>
            <w:r>
              <w:rPr>
                <w:bCs/>
                <w:color w:val="auto"/>
                <w:kern w:val="0"/>
                <w:sz w:val="24"/>
              </w:rPr>
              <w:t xml:space="preserve"> </w:t>
            </w:r>
            <w:r>
              <w:rPr>
                <w:rFonts w:hint="eastAsia"/>
                <w:bCs/>
                <w:color w:val="auto"/>
                <w:kern w:val="0"/>
                <w:sz w:val="24"/>
              </w:rPr>
              <w:t>名</w:t>
            </w:r>
            <w:r>
              <w:rPr>
                <w:bCs/>
                <w:color w:val="auto"/>
                <w:kern w:val="0"/>
                <w:sz w:val="24"/>
              </w:rPr>
              <w:t xml:space="preserve"> </w:t>
            </w:r>
            <w:r>
              <w:rPr>
                <w:rFonts w:hint="eastAsia"/>
                <w:bCs/>
                <w:color w:val="auto"/>
                <w:kern w:val="0"/>
                <w:sz w:val="24"/>
              </w:rPr>
              <w:t>称</w:t>
            </w:r>
          </w:p>
        </w:tc>
        <w:tc>
          <w:tcPr>
            <w:tcW w:w="1844" w:type="dxa"/>
            <w:tcBorders>
              <w:top w:val="single" w:color="auto" w:sz="4" w:space="0"/>
              <w:left w:val="nil"/>
              <w:bottom w:val="single" w:color="auto" w:sz="4" w:space="0"/>
              <w:right w:val="single" w:color="auto" w:sz="4" w:space="0"/>
            </w:tcBorders>
            <w:noWrap w:val="0"/>
            <w:vAlign w:val="center"/>
          </w:tcPr>
          <w:p>
            <w:pPr>
              <w:spacing w:line="300" w:lineRule="exact"/>
              <w:jc w:val="center"/>
              <w:rPr>
                <w:bCs/>
                <w:color w:val="auto"/>
                <w:kern w:val="0"/>
                <w:sz w:val="24"/>
              </w:rPr>
            </w:pPr>
            <w:r>
              <w:rPr>
                <w:rFonts w:hint="eastAsia"/>
                <w:bCs/>
                <w:color w:val="auto"/>
                <w:kern w:val="0"/>
                <w:sz w:val="24"/>
              </w:rPr>
              <w:t>苗期（</w:t>
            </w:r>
            <w:r>
              <w:rPr>
                <w:bCs/>
                <w:color w:val="auto"/>
                <w:kern w:val="0"/>
                <w:sz w:val="24"/>
              </w:rPr>
              <w:t>3</w:t>
            </w:r>
            <w:r>
              <w:rPr>
                <w:rFonts w:hint="eastAsia"/>
                <w:bCs/>
                <w:color w:val="auto"/>
                <w:kern w:val="0"/>
                <w:sz w:val="24"/>
              </w:rPr>
              <w:t>年内）</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bCs/>
                <w:color w:val="auto"/>
                <w:kern w:val="0"/>
                <w:sz w:val="24"/>
              </w:rPr>
            </w:pPr>
            <w:r>
              <w:rPr>
                <w:rFonts w:hint="eastAsia"/>
                <w:bCs/>
                <w:color w:val="auto"/>
                <w:kern w:val="0"/>
                <w:sz w:val="24"/>
              </w:rPr>
              <w:t>始产期（</w:t>
            </w:r>
            <w:r>
              <w:rPr>
                <w:bCs/>
                <w:color w:val="auto"/>
                <w:kern w:val="0"/>
                <w:sz w:val="24"/>
              </w:rPr>
              <w:t>3-6</w:t>
            </w:r>
            <w:r>
              <w:rPr>
                <w:rFonts w:hint="eastAsia"/>
                <w:bCs/>
                <w:color w:val="auto"/>
                <w:kern w:val="0"/>
                <w:sz w:val="24"/>
              </w:rPr>
              <w:t>年）</w:t>
            </w:r>
          </w:p>
        </w:tc>
        <w:tc>
          <w:tcPr>
            <w:tcW w:w="17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bCs/>
                <w:color w:val="auto"/>
                <w:kern w:val="0"/>
                <w:sz w:val="24"/>
              </w:rPr>
            </w:pPr>
            <w:r>
              <w:rPr>
                <w:rFonts w:hint="eastAsia"/>
                <w:bCs/>
                <w:color w:val="auto"/>
                <w:kern w:val="0"/>
                <w:sz w:val="24"/>
              </w:rPr>
              <w:t>盛产期</w:t>
            </w:r>
          </w:p>
          <w:p>
            <w:pPr>
              <w:spacing w:line="300" w:lineRule="exact"/>
              <w:jc w:val="center"/>
              <w:rPr>
                <w:bCs/>
                <w:color w:val="auto"/>
                <w:kern w:val="0"/>
                <w:sz w:val="24"/>
              </w:rPr>
            </w:pPr>
            <w:r>
              <w:rPr>
                <w:rFonts w:hint="eastAsia"/>
                <w:bCs/>
                <w:color w:val="auto"/>
                <w:kern w:val="0"/>
                <w:sz w:val="24"/>
              </w:rPr>
              <w:t>（</w:t>
            </w:r>
            <w:r>
              <w:rPr>
                <w:bCs/>
                <w:color w:val="auto"/>
                <w:kern w:val="0"/>
                <w:sz w:val="24"/>
              </w:rPr>
              <w:t>6</w:t>
            </w:r>
            <w:r>
              <w:rPr>
                <w:rFonts w:hint="eastAsia"/>
                <w:bCs/>
                <w:color w:val="auto"/>
                <w:kern w:val="0"/>
                <w:sz w:val="24"/>
              </w:rPr>
              <w:t>年以上）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79" w:hRule="atLeast"/>
          <w:jc w:val="center"/>
        </w:trPr>
        <w:tc>
          <w:tcPr>
            <w:tcW w:w="1151"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1</w:t>
            </w:r>
          </w:p>
        </w:tc>
        <w:tc>
          <w:tcPr>
            <w:tcW w:w="272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rFonts w:hint="eastAsia"/>
                <w:color w:val="auto"/>
                <w:kern w:val="0"/>
                <w:sz w:val="24"/>
              </w:rPr>
              <w:t>杨梅</w:t>
            </w:r>
          </w:p>
        </w:tc>
        <w:tc>
          <w:tcPr>
            <w:tcW w:w="1844"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60</w:t>
            </w:r>
          </w:p>
        </w:tc>
        <w:tc>
          <w:tcPr>
            <w:tcW w:w="1844"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100</w:t>
            </w:r>
          </w:p>
        </w:tc>
        <w:tc>
          <w:tcPr>
            <w:tcW w:w="173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612" w:hRule="atLeast"/>
          <w:jc w:val="center"/>
        </w:trPr>
        <w:tc>
          <w:tcPr>
            <w:tcW w:w="1151"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2</w:t>
            </w:r>
          </w:p>
        </w:tc>
        <w:tc>
          <w:tcPr>
            <w:tcW w:w="272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rFonts w:hint="eastAsia"/>
                <w:color w:val="auto"/>
                <w:kern w:val="0"/>
                <w:sz w:val="24"/>
              </w:rPr>
              <w:t>桃、李、梨、枣、枇杷、石榴、棕、椿树、银杏</w:t>
            </w:r>
          </w:p>
        </w:tc>
        <w:tc>
          <w:tcPr>
            <w:tcW w:w="1844"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55</w:t>
            </w:r>
          </w:p>
        </w:tc>
        <w:tc>
          <w:tcPr>
            <w:tcW w:w="1844"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90</w:t>
            </w:r>
          </w:p>
        </w:tc>
        <w:tc>
          <w:tcPr>
            <w:tcW w:w="173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120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79" w:hRule="atLeast"/>
          <w:jc w:val="center"/>
        </w:trPr>
        <w:tc>
          <w:tcPr>
            <w:tcW w:w="1151"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3</w:t>
            </w:r>
          </w:p>
        </w:tc>
        <w:tc>
          <w:tcPr>
            <w:tcW w:w="272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rFonts w:hint="eastAsia"/>
                <w:color w:val="auto"/>
                <w:kern w:val="0"/>
                <w:sz w:val="24"/>
              </w:rPr>
              <w:t>猕猴桃、葡萄</w:t>
            </w:r>
          </w:p>
        </w:tc>
        <w:tc>
          <w:tcPr>
            <w:tcW w:w="1844"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30</w:t>
            </w:r>
          </w:p>
        </w:tc>
        <w:tc>
          <w:tcPr>
            <w:tcW w:w="1844"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70</w:t>
            </w:r>
          </w:p>
        </w:tc>
        <w:tc>
          <w:tcPr>
            <w:tcW w:w="173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79" w:hRule="atLeast"/>
          <w:jc w:val="center"/>
        </w:trPr>
        <w:tc>
          <w:tcPr>
            <w:tcW w:w="1151"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4</w:t>
            </w:r>
          </w:p>
        </w:tc>
        <w:tc>
          <w:tcPr>
            <w:tcW w:w="272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rFonts w:hint="eastAsia"/>
                <w:color w:val="auto"/>
                <w:kern w:val="0"/>
                <w:sz w:val="24"/>
              </w:rPr>
              <w:t>油桐</w:t>
            </w:r>
          </w:p>
        </w:tc>
        <w:tc>
          <w:tcPr>
            <w:tcW w:w="1844"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20</w:t>
            </w:r>
          </w:p>
        </w:tc>
        <w:tc>
          <w:tcPr>
            <w:tcW w:w="1844"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60</w:t>
            </w:r>
          </w:p>
        </w:tc>
        <w:tc>
          <w:tcPr>
            <w:tcW w:w="173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rFonts w:hint="eastAsia"/>
                <w:color w:val="auto"/>
                <w:kern w:val="0"/>
                <w:sz w:val="24"/>
              </w:rPr>
              <w:t>1</w:t>
            </w:r>
            <w:r>
              <w:rPr>
                <w:color w:val="auto"/>
                <w:kern w:val="0"/>
                <w:sz w:val="24"/>
              </w:rPr>
              <w:t>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89" w:hRule="atLeast"/>
          <w:jc w:val="center"/>
        </w:trPr>
        <w:tc>
          <w:tcPr>
            <w:tcW w:w="1151"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5</w:t>
            </w:r>
          </w:p>
        </w:tc>
        <w:tc>
          <w:tcPr>
            <w:tcW w:w="272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rFonts w:hint="eastAsia"/>
                <w:color w:val="auto"/>
                <w:kern w:val="0"/>
                <w:sz w:val="24"/>
              </w:rPr>
              <w:t>柚、柑、桔、</w:t>
            </w:r>
            <w:r>
              <w:rPr>
                <w:rFonts w:hint="eastAsia"/>
                <w:color w:val="auto"/>
                <w:kern w:val="0"/>
                <w:sz w:val="24"/>
              </w:rPr>
              <w:t>板栗</w:t>
            </w:r>
          </w:p>
        </w:tc>
        <w:tc>
          <w:tcPr>
            <w:tcW w:w="1844" w:type="dxa"/>
            <w:tcBorders>
              <w:top w:val="single" w:color="auto" w:sz="4" w:space="0"/>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40</w:t>
            </w:r>
          </w:p>
        </w:tc>
        <w:tc>
          <w:tcPr>
            <w:tcW w:w="1844" w:type="dxa"/>
            <w:tcBorders>
              <w:top w:val="nil"/>
              <w:left w:val="single" w:color="auto" w:sz="4" w:space="0"/>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80</w:t>
            </w:r>
          </w:p>
        </w:tc>
        <w:tc>
          <w:tcPr>
            <w:tcW w:w="1734" w:type="dxa"/>
            <w:tcBorders>
              <w:top w:val="nil"/>
              <w:left w:val="nil"/>
              <w:bottom w:val="single" w:color="auto" w:sz="4" w:space="0"/>
              <w:right w:val="single" w:color="auto" w:sz="4" w:space="0"/>
            </w:tcBorders>
            <w:noWrap w:val="0"/>
            <w:vAlign w:val="center"/>
          </w:tcPr>
          <w:p>
            <w:pPr>
              <w:spacing w:line="300" w:lineRule="exact"/>
              <w:jc w:val="center"/>
              <w:rPr>
                <w:color w:val="auto"/>
                <w:kern w:val="0"/>
                <w:sz w:val="24"/>
              </w:rPr>
            </w:pPr>
            <w:r>
              <w:rPr>
                <w:color w:val="auto"/>
                <w:kern w:val="0"/>
                <w:sz w:val="24"/>
              </w:rPr>
              <w:t>150</w:t>
            </w:r>
          </w:p>
        </w:tc>
      </w:tr>
    </w:tbl>
    <w:p>
      <w:pPr>
        <w:rPr>
          <w:rFonts w:hint="eastAsia"/>
          <w:bCs/>
          <w:color w:val="auto"/>
          <w:sz w:val="24"/>
        </w:rPr>
      </w:pPr>
    </w:p>
    <w:p>
      <w:pPr>
        <w:rPr>
          <w:rFonts w:hint="eastAsia"/>
          <w:bCs/>
          <w:color w:val="auto"/>
          <w:sz w:val="24"/>
        </w:rPr>
      </w:pPr>
      <w:r>
        <w:rPr>
          <w:rFonts w:hint="eastAsia"/>
          <w:bCs/>
          <w:color w:val="auto"/>
          <w:sz w:val="24"/>
        </w:rPr>
        <w:t>征收建设用地范围内零星苗木、花卉青苗补偿标准：</w:t>
      </w:r>
      <w:r>
        <w:rPr>
          <w:rFonts w:hint="eastAsia"/>
          <w:bCs/>
          <w:color w:val="auto"/>
          <w:sz w:val="24"/>
          <w:lang w:val="en-US" w:eastAsia="zh-CN"/>
        </w:rPr>
        <w:t xml:space="preserve">                  </w:t>
      </w:r>
      <w:r>
        <w:rPr>
          <w:rFonts w:hint="eastAsia"/>
          <w:bCs/>
          <w:color w:val="auto"/>
          <w:kern w:val="0"/>
          <w:sz w:val="24"/>
        </w:rPr>
        <w:t>（元</w:t>
      </w:r>
      <w:r>
        <w:rPr>
          <w:bCs/>
          <w:color w:val="auto"/>
          <w:kern w:val="0"/>
          <w:sz w:val="24"/>
        </w:rPr>
        <w:t>/</w:t>
      </w:r>
      <w:r>
        <w:rPr>
          <w:rFonts w:hint="eastAsia"/>
          <w:bCs/>
          <w:color w:val="auto"/>
          <w:kern w:val="0"/>
          <w:sz w:val="24"/>
        </w:rPr>
        <w:t>株）</w:t>
      </w:r>
    </w:p>
    <w:tbl>
      <w:tblPr>
        <w:tblStyle w:val="7"/>
        <w:tblW w:w="917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951"/>
        <w:gridCol w:w="1286"/>
        <w:gridCol w:w="1118"/>
        <w:gridCol w:w="1120"/>
        <w:gridCol w:w="1118"/>
        <w:gridCol w:w="1118"/>
        <w:gridCol w:w="24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序号</w:t>
            </w:r>
          </w:p>
        </w:tc>
        <w:tc>
          <w:tcPr>
            <w:tcW w:w="128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项目名称</w:t>
            </w:r>
          </w:p>
        </w:tc>
        <w:tc>
          <w:tcPr>
            <w:tcW w:w="2238" w:type="dxa"/>
            <w:gridSpan w:val="2"/>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规格</w:t>
            </w:r>
          </w:p>
        </w:tc>
        <w:tc>
          <w:tcPr>
            <w:tcW w:w="111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单位</w:t>
            </w:r>
          </w:p>
        </w:tc>
        <w:tc>
          <w:tcPr>
            <w:tcW w:w="111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补偿金额（元）</w:t>
            </w:r>
          </w:p>
        </w:tc>
        <w:tc>
          <w:tcPr>
            <w:tcW w:w="246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说</w:t>
            </w:r>
            <w:r>
              <w:rPr>
                <w:color w:val="auto"/>
                <w:kern w:val="0"/>
                <w:sz w:val="24"/>
              </w:rPr>
              <w:t xml:space="preserve"> </w:t>
            </w:r>
            <w:r>
              <w:rPr>
                <w:rFonts w:hint="eastAsia"/>
                <w:color w:val="auto"/>
                <w:kern w:val="0"/>
                <w:sz w:val="24"/>
              </w:rPr>
              <w:t>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single" w:color="auto" w:sz="4" w:space="0"/>
              <w:left w:val="single" w:color="auto" w:sz="4" w:space="0"/>
              <w:bottom w:val="single" w:color="000000" w:sz="4" w:space="0"/>
              <w:right w:val="single" w:color="auto" w:sz="4" w:space="0"/>
            </w:tcBorders>
            <w:noWrap w:val="0"/>
            <w:vAlign w:val="center"/>
          </w:tcPr>
          <w:p>
            <w:pPr>
              <w:rPr>
                <w:color w:val="auto"/>
              </w:rPr>
            </w:pPr>
          </w:p>
        </w:tc>
        <w:tc>
          <w:tcPr>
            <w:tcW w:w="1286" w:type="dxa"/>
            <w:vMerge w:val="continue"/>
            <w:tcBorders>
              <w:top w:val="single" w:color="auto" w:sz="4" w:space="0"/>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高度（米）</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冠幅（米）</w:t>
            </w:r>
          </w:p>
        </w:tc>
        <w:tc>
          <w:tcPr>
            <w:tcW w:w="1118" w:type="dxa"/>
            <w:vMerge w:val="continue"/>
            <w:tcBorders>
              <w:top w:val="single" w:color="auto" w:sz="4" w:space="0"/>
              <w:left w:val="single" w:color="auto" w:sz="4" w:space="0"/>
              <w:bottom w:val="single" w:color="000000" w:sz="4" w:space="0"/>
              <w:right w:val="single" w:color="auto" w:sz="4" w:space="0"/>
            </w:tcBorders>
            <w:noWrap w:val="0"/>
            <w:vAlign w:val="center"/>
          </w:tcPr>
          <w:p>
            <w:pPr>
              <w:rPr>
                <w:color w:val="auto"/>
              </w:rPr>
            </w:pPr>
          </w:p>
        </w:tc>
        <w:tc>
          <w:tcPr>
            <w:tcW w:w="1118" w:type="dxa"/>
            <w:vMerge w:val="continue"/>
            <w:tcBorders>
              <w:top w:val="single" w:color="auto" w:sz="4" w:space="0"/>
              <w:left w:val="single" w:color="auto" w:sz="4" w:space="0"/>
              <w:bottom w:val="single" w:color="000000" w:sz="4" w:space="0"/>
              <w:right w:val="single" w:color="auto" w:sz="4" w:space="0"/>
            </w:tcBorders>
            <w:noWrap w:val="0"/>
            <w:vAlign w:val="center"/>
          </w:tcPr>
          <w:p>
            <w:pPr>
              <w:rPr>
                <w:color w:val="auto"/>
              </w:rPr>
            </w:pPr>
          </w:p>
        </w:tc>
        <w:tc>
          <w:tcPr>
            <w:tcW w:w="2465" w:type="dxa"/>
            <w:vMerge w:val="continue"/>
            <w:tcBorders>
              <w:top w:val="single" w:color="auto" w:sz="4" w:space="0"/>
              <w:left w:val="single" w:color="auto" w:sz="4" w:space="0"/>
              <w:bottom w:val="single" w:color="000000"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09"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1</w:t>
            </w:r>
          </w:p>
        </w:tc>
        <w:tc>
          <w:tcPr>
            <w:tcW w:w="1286"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茉莉、木槿</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0.5</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25</w:t>
            </w:r>
          </w:p>
        </w:tc>
        <w:tc>
          <w:tcPr>
            <w:tcW w:w="2465" w:type="dxa"/>
            <w:vMerge w:val="restart"/>
            <w:tcBorders>
              <w:top w:val="nil"/>
              <w:left w:val="single" w:color="auto" w:sz="4" w:space="0"/>
              <w:bottom w:val="single" w:color="auto" w:sz="4" w:space="0"/>
              <w:right w:val="single" w:color="auto" w:sz="4" w:space="0"/>
            </w:tcBorders>
            <w:noWrap w:val="0"/>
            <w:vAlign w:val="center"/>
          </w:tcPr>
          <w:p>
            <w:pPr>
              <w:rPr>
                <w:color w:val="auto"/>
                <w:kern w:val="0"/>
                <w:sz w:val="24"/>
              </w:rPr>
            </w:pPr>
            <w:r>
              <w:rPr>
                <w:rFonts w:hint="eastAsia"/>
                <w:color w:val="auto"/>
                <w:kern w:val="0"/>
                <w:sz w:val="24"/>
              </w:rPr>
              <w:t>高度</w:t>
            </w:r>
            <w:r>
              <w:rPr>
                <w:color w:val="auto"/>
                <w:kern w:val="0"/>
                <w:sz w:val="24"/>
              </w:rPr>
              <w:t>1</w:t>
            </w:r>
            <w:r>
              <w:rPr>
                <w:rFonts w:hint="eastAsia"/>
                <w:color w:val="auto"/>
                <w:kern w:val="0"/>
                <w:sz w:val="24"/>
              </w:rPr>
              <w:t>米以上，每增高</w:t>
            </w:r>
            <w:r>
              <w:rPr>
                <w:color w:val="auto"/>
                <w:kern w:val="0"/>
                <w:sz w:val="24"/>
              </w:rPr>
              <w:t>30</w:t>
            </w:r>
            <w:r>
              <w:rPr>
                <w:rFonts w:hint="eastAsia"/>
                <w:color w:val="auto"/>
                <w:kern w:val="0"/>
                <w:sz w:val="24"/>
              </w:rPr>
              <w:t>厘米，另补偿</w:t>
            </w:r>
            <w:r>
              <w:rPr>
                <w:color w:val="auto"/>
                <w:kern w:val="0"/>
                <w:sz w:val="24"/>
              </w:rPr>
              <w:t>20</w:t>
            </w:r>
            <w:r>
              <w:rPr>
                <w:rFonts w:hint="eastAsia"/>
                <w:color w:val="auto"/>
                <w:kern w:val="0"/>
                <w:sz w:val="24"/>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58"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2</w:t>
            </w:r>
          </w:p>
        </w:tc>
        <w:tc>
          <w:tcPr>
            <w:tcW w:w="1286" w:type="dxa"/>
            <w:vMerge w:val="restart"/>
            <w:tcBorders>
              <w:top w:val="nil"/>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迎春花、山茶花</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1年生</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25</w:t>
            </w:r>
          </w:p>
        </w:tc>
        <w:tc>
          <w:tcPr>
            <w:tcW w:w="2465" w:type="dxa"/>
            <w:vMerge w:val="restart"/>
            <w:tcBorders>
              <w:top w:val="nil"/>
              <w:left w:val="single" w:color="auto" w:sz="4" w:space="0"/>
              <w:bottom w:val="single" w:color="auto" w:sz="4" w:space="0"/>
              <w:right w:val="single" w:color="auto" w:sz="4" w:space="0"/>
            </w:tcBorders>
            <w:noWrap w:val="0"/>
            <w:vAlign w:val="center"/>
          </w:tcPr>
          <w:p>
            <w:pPr>
              <w:rPr>
                <w:color w:val="auto"/>
                <w:kern w:val="0"/>
                <w:sz w:val="24"/>
              </w:rPr>
            </w:pPr>
            <w:r>
              <w:rPr>
                <w:rFonts w:hint="eastAsia"/>
                <w:color w:val="auto"/>
                <w:kern w:val="0"/>
                <w:sz w:val="24"/>
              </w:rPr>
              <w:t>冠径</w:t>
            </w:r>
            <w:r>
              <w:rPr>
                <w:color w:val="auto"/>
                <w:kern w:val="0"/>
                <w:sz w:val="24"/>
              </w:rPr>
              <w:t>1.5</w:t>
            </w:r>
            <w:r>
              <w:rPr>
                <w:rFonts w:hint="eastAsia"/>
                <w:color w:val="auto"/>
                <w:kern w:val="0"/>
                <w:sz w:val="24"/>
              </w:rPr>
              <w:t>米以上，每增大</w:t>
            </w:r>
            <w:r>
              <w:rPr>
                <w:color w:val="auto"/>
                <w:kern w:val="0"/>
                <w:sz w:val="24"/>
              </w:rPr>
              <w:t>50</w:t>
            </w:r>
            <w:r>
              <w:rPr>
                <w:rFonts w:hint="eastAsia"/>
                <w:color w:val="auto"/>
                <w:kern w:val="0"/>
                <w:sz w:val="24"/>
              </w:rPr>
              <w:t>厘米，另补偿</w:t>
            </w:r>
            <w:r>
              <w:rPr>
                <w:color w:val="auto"/>
                <w:kern w:val="0"/>
                <w:sz w:val="24"/>
              </w:rPr>
              <w:t>20</w:t>
            </w:r>
            <w:r>
              <w:rPr>
                <w:rFonts w:hint="eastAsia"/>
                <w:color w:val="auto"/>
                <w:kern w:val="0"/>
                <w:sz w:val="24"/>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0.8</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6</w:t>
            </w:r>
            <w:r>
              <w:rPr>
                <w:color w:val="auto"/>
                <w:kern w:val="0"/>
                <w:sz w:val="24"/>
              </w:rPr>
              <w:t>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1.5</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100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3</w:t>
            </w:r>
          </w:p>
        </w:tc>
        <w:tc>
          <w:tcPr>
            <w:tcW w:w="1286" w:type="dxa"/>
            <w:vMerge w:val="restart"/>
            <w:tcBorders>
              <w:top w:val="nil"/>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黄杨、夹竹桃</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1年生</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丛</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25</w:t>
            </w:r>
          </w:p>
        </w:tc>
        <w:tc>
          <w:tcPr>
            <w:tcW w:w="2465"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4年以上生</w:t>
            </w:r>
            <w:r>
              <w:rPr>
                <w:color w:val="auto"/>
                <w:kern w:val="0"/>
                <w:sz w:val="24"/>
              </w:rPr>
              <w:t>30</w:t>
            </w:r>
            <w:r>
              <w:rPr>
                <w:rFonts w:hint="eastAsia"/>
                <w:color w:val="auto"/>
                <w:kern w:val="0"/>
                <w:sz w:val="24"/>
              </w:rPr>
              <w:t>元</w:t>
            </w:r>
            <w:r>
              <w:rPr>
                <w:color w:val="auto"/>
                <w:kern w:val="0"/>
                <w:sz w:val="24"/>
              </w:rPr>
              <w:t>/</w:t>
            </w:r>
            <w:r>
              <w:rPr>
                <w:rFonts w:hint="eastAsia"/>
                <w:color w:val="auto"/>
                <w:kern w:val="0"/>
                <w:sz w:val="24"/>
              </w:rPr>
              <w:t>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2年生</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丛</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3年生</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丛</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4</w:t>
            </w:r>
          </w:p>
        </w:tc>
        <w:tc>
          <w:tcPr>
            <w:tcW w:w="1286" w:type="dxa"/>
            <w:vMerge w:val="restart"/>
            <w:tcBorders>
              <w:top w:val="nil"/>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七里香、栀子花</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0.4</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w:t>
            </w:r>
            <w:r>
              <w:rPr>
                <w:color w:val="auto"/>
                <w:kern w:val="0"/>
                <w:sz w:val="24"/>
              </w:rPr>
              <w:t>5</w:t>
            </w:r>
          </w:p>
        </w:tc>
        <w:tc>
          <w:tcPr>
            <w:tcW w:w="2465"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冠幅</w:t>
            </w:r>
            <w:r>
              <w:rPr>
                <w:color w:val="auto"/>
                <w:kern w:val="0"/>
                <w:sz w:val="24"/>
              </w:rPr>
              <w:t>1</w:t>
            </w:r>
            <w:r>
              <w:rPr>
                <w:rFonts w:hint="eastAsia"/>
                <w:color w:val="auto"/>
                <w:kern w:val="0"/>
                <w:sz w:val="24"/>
              </w:rPr>
              <w:t>米以上，每增大</w:t>
            </w:r>
            <w:r>
              <w:rPr>
                <w:color w:val="auto"/>
                <w:kern w:val="0"/>
                <w:sz w:val="24"/>
              </w:rPr>
              <w:t>10</w:t>
            </w:r>
            <w:r>
              <w:rPr>
                <w:rFonts w:hint="eastAsia"/>
                <w:color w:val="auto"/>
                <w:kern w:val="0"/>
                <w:sz w:val="24"/>
              </w:rPr>
              <w:t>厘米，另补偿</w:t>
            </w:r>
            <w:r>
              <w:rPr>
                <w:color w:val="auto"/>
                <w:kern w:val="0"/>
                <w:sz w:val="24"/>
              </w:rPr>
              <w:t>20</w:t>
            </w:r>
            <w:r>
              <w:rPr>
                <w:rFonts w:hint="eastAsia"/>
                <w:color w:val="auto"/>
                <w:kern w:val="0"/>
                <w:sz w:val="24"/>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0.7</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r>
              <w:rPr>
                <w:color w:val="auto"/>
                <w:kern w:val="0"/>
                <w:sz w:val="24"/>
              </w:rPr>
              <w:t xml:space="preserve">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5</w:t>
            </w:r>
            <w:r>
              <w:rPr>
                <w:color w:val="auto"/>
                <w:kern w:val="0"/>
                <w:sz w:val="24"/>
              </w:rPr>
              <w:t>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5</w:t>
            </w:r>
          </w:p>
        </w:tc>
        <w:tc>
          <w:tcPr>
            <w:tcW w:w="1286" w:type="dxa"/>
            <w:vMerge w:val="restart"/>
            <w:tcBorders>
              <w:top w:val="nil"/>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芭蕉、美人蕉</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小</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丛</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25</w:t>
            </w:r>
          </w:p>
        </w:tc>
        <w:tc>
          <w:tcPr>
            <w:tcW w:w="2465"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3-5株/丛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中</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丛</w:t>
            </w:r>
          </w:p>
        </w:tc>
        <w:tc>
          <w:tcPr>
            <w:tcW w:w="1118" w:type="dxa"/>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28</w:t>
            </w:r>
          </w:p>
        </w:tc>
        <w:tc>
          <w:tcPr>
            <w:tcW w:w="2465" w:type="dxa"/>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color w:val="auto"/>
                <w:sz w:val="24"/>
              </w:rPr>
            </w:pPr>
            <w:r>
              <w:rPr>
                <w:rFonts w:hint="eastAsia"/>
                <w:color w:val="auto"/>
                <w:sz w:val="24"/>
              </w:rPr>
              <w:t>6-10株/丛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大</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丛</w:t>
            </w:r>
          </w:p>
        </w:tc>
        <w:tc>
          <w:tcPr>
            <w:tcW w:w="1118" w:type="dxa"/>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2465"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color w:val="auto"/>
                <w:sz w:val="24"/>
              </w:rPr>
            </w:pPr>
            <w:r>
              <w:rPr>
                <w:rFonts w:hint="eastAsia"/>
                <w:color w:val="auto"/>
                <w:sz w:val="24"/>
              </w:rPr>
              <w:t>11株/丛以上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6</w:t>
            </w:r>
          </w:p>
        </w:tc>
        <w:tc>
          <w:tcPr>
            <w:tcW w:w="1286" w:type="dxa"/>
            <w:vMerge w:val="restart"/>
            <w:tcBorders>
              <w:top w:val="nil"/>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月季、杜鹃</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1年生</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25</w:t>
            </w:r>
          </w:p>
        </w:tc>
        <w:tc>
          <w:tcPr>
            <w:tcW w:w="2465"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4年以上</w:t>
            </w:r>
            <w:r>
              <w:rPr>
                <w:color w:val="auto"/>
                <w:kern w:val="0"/>
                <w:sz w:val="24"/>
              </w:rPr>
              <w:t>30</w:t>
            </w:r>
            <w:r>
              <w:rPr>
                <w:rFonts w:hint="eastAsia"/>
                <w:color w:val="auto"/>
                <w:kern w:val="0"/>
                <w:sz w:val="24"/>
              </w:rPr>
              <w:t>元</w:t>
            </w:r>
            <w:r>
              <w:rPr>
                <w:color w:val="auto"/>
                <w:kern w:val="0"/>
                <w:sz w:val="24"/>
              </w:rPr>
              <w:t>/</w:t>
            </w:r>
            <w:r>
              <w:rPr>
                <w:rFonts w:hint="eastAsia"/>
                <w:color w:val="auto"/>
                <w:kern w:val="0"/>
                <w:sz w:val="24"/>
              </w:rPr>
              <w:t>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2年生</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3年生</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7</w:t>
            </w:r>
          </w:p>
        </w:tc>
        <w:tc>
          <w:tcPr>
            <w:tcW w:w="1286" w:type="dxa"/>
            <w:vMerge w:val="restart"/>
            <w:tcBorders>
              <w:top w:val="nil"/>
              <w:left w:val="single" w:color="auto" w:sz="4" w:space="0"/>
              <w:bottom w:val="single" w:color="000000" w:sz="4" w:space="0"/>
              <w:right w:val="single" w:color="auto" w:sz="4" w:space="0"/>
            </w:tcBorders>
            <w:noWrap w:val="0"/>
            <w:vAlign w:val="center"/>
          </w:tcPr>
          <w:p>
            <w:pPr>
              <w:jc w:val="center"/>
              <w:rPr>
                <w:color w:val="auto"/>
                <w:kern w:val="0"/>
                <w:sz w:val="24"/>
              </w:rPr>
            </w:pPr>
            <w:r>
              <w:rPr>
                <w:rFonts w:hint="eastAsia"/>
                <w:color w:val="auto"/>
                <w:kern w:val="0"/>
                <w:sz w:val="24"/>
              </w:rPr>
              <w:t>木芙蓉</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w:t>
            </w:r>
            <w:r>
              <w:rPr>
                <w:color w:val="auto"/>
                <w:kern w:val="0"/>
                <w:sz w:val="24"/>
              </w:rPr>
              <w:t>5</w:t>
            </w:r>
          </w:p>
        </w:tc>
        <w:tc>
          <w:tcPr>
            <w:tcW w:w="2465" w:type="dxa"/>
            <w:vMerge w:val="restart"/>
            <w:tcBorders>
              <w:top w:val="nil"/>
              <w:left w:val="single" w:color="auto" w:sz="4" w:space="0"/>
              <w:bottom w:val="single" w:color="auto" w:sz="4" w:space="0"/>
              <w:right w:val="single" w:color="auto" w:sz="4" w:space="0"/>
            </w:tcBorders>
            <w:noWrap w:val="0"/>
            <w:vAlign w:val="center"/>
          </w:tcPr>
          <w:p>
            <w:pPr>
              <w:rPr>
                <w:color w:val="auto"/>
                <w:kern w:val="0"/>
                <w:sz w:val="24"/>
              </w:rPr>
            </w:pPr>
            <w:r>
              <w:rPr>
                <w:rFonts w:hint="eastAsia"/>
                <w:color w:val="auto"/>
                <w:kern w:val="0"/>
                <w:sz w:val="24"/>
              </w:rPr>
              <w:t>高度</w:t>
            </w:r>
            <w:r>
              <w:rPr>
                <w:color w:val="auto"/>
                <w:kern w:val="0"/>
                <w:sz w:val="24"/>
              </w:rPr>
              <w:t>1.70</w:t>
            </w:r>
            <w:r>
              <w:rPr>
                <w:rFonts w:hint="eastAsia"/>
                <w:color w:val="auto"/>
                <w:kern w:val="0"/>
                <w:sz w:val="24"/>
              </w:rPr>
              <w:t>米以上，每增高</w:t>
            </w:r>
            <w:r>
              <w:rPr>
                <w:color w:val="auto"/>
                <w:kern w:val="0"/>
                <w:sz w:val="24"/>
              </w:rPr>
              <w:t>50</w:t>
            </w:r>
            <w:r>
              <w:rPr>
                <w:rFonts w:hint="eastAsia"/>
                <w:color w:val="auto"/>
                <w:kern w:val="0"/>
                <w:sz w:val="24"/>
              </w:rPr>
              <w:t>厘米，另补偿</w:t>
            </w:r>
            <w:r>
              <w:rPr>
                <w:color w:val="auto"/>
                <w:kern w:val="0"/>
                <w:sz w:val="24"/>
              </w:rPr>
              <w:t>20</w:t>
            </w:r>
            <w:r>
              <w:rPr>
                <w:rFonts w:hint="eastAsia"/>
                <w:color w:val="auto"/>
                <w:kern w:val="0"/>
                <w:sz w:val="24"/>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1.4</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30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1.7</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株</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color w:val="auto"/>
                <w:kern w:val="0"/>
                <w:sz w:val="24"/>
              </w:rPr>
              <w:t>40</w:t>
            </w:r>
          </w:p>
        </w:tc>
        <w:tc>
          <w:tcPr>
            <w:tcW w:w="2465" w:type="dxa"/>
            <w:vMerge w:val="continue"/>
            <w:tcBorders>
              <w:top w:val="nil"/>
              <w:left w:val="single" w:color="auto" w:sz="4" w:space="0"/>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color w:val="auto"/>
                <w:kern w:val="0"/>
                <w:sz w:val="24"/>
              </w:rPr>
              <w:t>8</w:t>
            </w:r>
          </w:p>
        </w:tc>
        <w:tc>
          <w:tcPr>
            <w:tcW w:w="1286" w:type="dxa"/>
            <w:vMerge w:val="restart"/>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葱兰</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20"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小丛</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1</w:t>
            </w:r>
            <w:r>
              <w:rPr>
                <w:color w:val="auto"/>
                <w:kern w:val="0"/>
                <w:sz w:val="24"/>
              </w:rPr>
              <w:t>5</w:t>
            </w:r>
          </w:p>
        </w:tc>
        <w:tc>
          <w:tcPr>
            <w:tcW w:w="2465" w:type="dxa"/>
            <w:tcBorders>
              <w:top w:val="nil"/>
              <w:left w:val="single" w:color="auto" w:sz="4" w:space="0"/>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3-6株/丛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54" w:hRule="atLeast"/>
          <w:jc w:val="center"/>
        </w:trPr>
        <w:tc>
          <w:tcPr>
            <w:tcW w:w="951"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286"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118" w:type="dxa"/>
            <w:tcBorders>
              <w:top w:val="nil"/>
              <w:left w:val="nil"/>
              <w:bottom w:val="single" w:color="auto" w:sz="4" w:space="0"/>
              <w:right w:val="single" w:color="auto" w:sz="4" w:space="0"/>
            </w:tcBorders>
            <w:noWrap w:val="0"/>
            <w:vAlign w:val="center"/>
          </w:tcPr>
          <w:p>
            <w:pPr>
              <w:jc w:val="center"/>
              <w:rPr>
                <w:rFonts w:eastAsia="仿宋_GB2312"/>
                <w:color w:val="auto"/>
                <w:kern w:val="0"/>
                <w:sz w:val="24"/>
              </w:rPr>
            </w:pPr>
            <w:r>
              <w:rPr>
                <w:rFonts w:hint="eastAsia" w:eastAsia="仿宋_GB2312"/>
                <w:color w:val="auto"/>
                <w:kern w:val="0"/>
                <w:sz w:val="24"/>
              </w:rPr>
              <w:t>　</w:t>
            </w:r>
          </w:p>
        </w:tc>
        <w:tc>
          <w:tcPr>
            <w:tcW w:w="1120" w:type="dxa"/>
            <w:tcBorders>
              <w:top w:val="nil"/>
              <w:left w:val="nil"/>
              <w:bottom w:val="single" w:color="auto" w:sz="4" w:space="0"/>
              <w:right w:val="single" w:color="auto" w:sz="4" w:space="0"/>
            </w:tcBorders>
            <w:noWrap w:val="0"/>
            <w:vAlign w:val="center"/>
          </w:tcPr>
          <w:p>
            <w:pPr>
              <w:jc w:val="center"/>
              <w:rPr>
                <w:rFonts w:eastAsia="仿宋_GB2312"/>
                <w:color w:val="auto"/>
                <w:kern w:val="0"/>
                <w:sz w:val="24"/>
              </w:rPr>
            </w:pPr>
            <w:r>
              <w:rPr>
                <w:rFonts w:hint="eastAsia" w:eastAsia="仿宋_GB2312"/>
                <w:color w:val="auto"/>
                <w:kern w:val="0"/>
                <w:sz w:val="24"/>
              </w:rPr>
              <w:t>　</w:t>
            </w:r>
          </w:p>
        </w:tc>
        <w:tc>
          <w:tcPr>
            <w:tcW w:w="1118" w:type="dxa"/>
            <w:tcBorders>
              <w:top w:val="nil"/>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大丛</w:t>
            </w:r>
          </w:p>
        </w:tc>
        <w:tc>
          <w:tcPr>
            <w:tcW w:w="1118" w:type="dxa"/>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2</w:t>
            </w:r>
            <w:r>
              <w:rPr>
                <w:color w:val="auto"/>
                <w:kern w:val="0"/>
                <w:sz w:val="24"/>
              </w:rPr>
              <w:t>0</w:t>
            </w:r>
          </w:p>
        </w:tc>
        <w:tc>
          <w:tcPr>
            <w:tcW w:w="2465" w:type="dxa"/>
            <w:tcBorders>
              <w:top w:val="single" w:color="auto" w:sz="4" w:space="0"/>
              <w:left w:val="single" w:color="auto" w:sz="4" w:space="0"/>
              <w:bottom w:val="single" w:color="auto" w:sz="4" w:space="0"/>
              <w:right w:val="single" w:color="auto" w:sz="4" w:space="0"/>
            </w:tcBorders>
            <w:noWrap w:val="0"/>
            <w:vAlign w:val="center"/>
          </w:tcPr>
          <w:p>
            <w:pPr>
              <w:ind w:firstLine="720" w:firstLineChars="300"/>
              <w:rPr>
                <w:color w:val="auto"/>
                <w:sz w:val="24"/>
              </w:rPr>
            </w:pPr>
            <w:r>
              <w:rPr>
                <w:rFonts w:hint="eastAsia"/>
                <w:color w:val="auto"/>
                <w:sz w:val="24"/>
              </w:rPr>
              <w:t>7株/丛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54" w:hRule="atLeast"/>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rPr>
            </w:pPr>
            <w:r>
              <w:rPr>
                <w:rFonts w:hint="eastAsia"/>
                <w:color w:val="auto"/>
                <w:sz w:val="24"/>
              </w:rPr>
              <w:t>9</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rPr>
            </w:pPr>
            <w:r>
              <w:rPr>
                <w:rFonts w:hint="eastAsia"/>
                <w:color w:val="auto"/>
                <w:sz w:val="24"/>
              </w:rPr>
              <w:t>草坪</w:t>
            </w:r>
          </w:p>
        </w:tc>
        <w:tc>
          <w:tcPr>
            <w:tcW w:w="1118" w:type="dxa"/>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auto"/>
                <w:kern w:val="0"/>
                <w:sz w:val="24"/>
              </w:rPr>
            </w:pPr>
          </w:p>
        </w:tc>
        <w:tc>
          <w:tcPr>
            <w:tcW w:w="1120" w:type="dxa"/>
            <w:tcBorders>
              <w:top w:val="single" w:color="auto" w:sz="4" w:space="0"/>
              <w:left w:val="nil"/>
              <w:bottom w:val="single" w:color="auto" w:sz="4" w:space="0"/>
              <w:right w:val="single" w:color="auto" w:sz="4" w:space="0"/>
            </w:tcBorders>
            <w:noWrap w:val="0"/>
            <w:vAlign w:val="center"/>
          </w:tcPr>
          <w:p>
            <w:pPr>
              <w:jc w:val="center"/>
              <w:rPr>
                <w:rFonts w:hint="eastAsia" w:eastAsia="仿宋_GB2312"/>
                <w:color w:val="auto"/>
                <w:kern w:val="0"/>
                <w:sz w:val="24"/>
              </w:rPr>
            </w:pPr>
          </w:p>
        </w:tc>
        <w:tc>
          <w:tcPr>
            <w:tcW w:w="1118" w:type="dxa"/>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rFonts w:hint="eastAsia" w:ascii="宋体" w:cs="宋体"/>
                <w:color w:val="auto"/>
                <w:kern w:val="0"/>
                <w:sz w:val="24"/>
              </w:rPr>
              <w:t>平方米</w:t>
            </w:r>
          </w:p>
        </w:tc>
        <w:tc>
          <w:tcPr>
            <w:tcW w:w="1118" w:type="dxa"/>
            <w:tcBorders>
              <w:top w:val="single" w:color="auto" w:sz="4" w:space="0"/>
              <w:left w:val="nil"/>
              <w:bottom w:val="single" w:color="auto" w:sz="4" w:space="0"/>
              <w:right w:val="single" w:color="auto" w:sz="4" w:space="0"/>
            </w:tcBorders>
            <w:noWrap w:val="0"/>
            <w:vAlign w:val="center"/>
          </w:tcPr>
          <w:p>
            <w:pPr>
              <w:jc w:val="center"/>
              <w:rPr>
                <w:color w:val="auto"/>
                <w:kern w:val="0"/>
                <w:sz w:val="24"/>
              </w:rPr>
            </w:pPr>
            <w:r>
              <w:rPr>
                <w:rFonts w:hint="eastAsia"/>
                <w:color w:val="auto"/>
                <w:kern w:val="0"/>
                <w:sz w:val="24"/>
              </w:rPr>
              <w:t>20</w:t>
            </w:r>
          </w:p>
        </w:tc>
        <w:tc>
          <w:tcPr>
            <w:tcW w:w="2465" w:type="dxa"/>
            <w:tcBorders>
              <w:top w:val="single" w:color="auto" w:sz="4" w:space="0"/>
              <w:left w:val="single" w:color="auto" w:sz="4" w:space="0"/>
              <w:bottom w:val="single" w:color="auto" w:sz="4" w:space="0"/>
              <w:right w:val="single" w:color="auto" w:sz="4" w:space="0"/>
            </w:tcBorders>
            <w:noWrap w:val="0"/>
            <w:vAlign w:val="center"/>
          </w:tcPr>
          <w:p>
            <w:pPr>
              <w:rPr>
                <w:color w:val="auto"/>
                <w:sz w:val="24"/>
              </w:rPr>
            </w:pPr>
          </w:p>
        </w:tc>
      </w:tr>
    </w:tbl>
    <w:p>
      <w:pPr>
        <w:rPr>
          <w:color w:val="auto"/>
          <w:sz w:val="24"/>
        </w:rPr>
      </w:pPr>
      <w:r>
        <w:rPr>
          <w:rFonts w:hint="eastAsia"/>
          <w:color w:val="auto"/>
          <w:sz w:val="24"/>
        </w:rPr>
        <w:t>注：</w:t>
      </w:r>
      <w:r>
        <w:rPr>
          <w:color w:val="auto"/>
          <w:sz w:val="24"/>
        </w:rPr>
        <w:t>1.</w:t>
      </w:r>
      <w:r>
        <w:rPr>
          <w:rFonts w:hint="eastAsia"/>
          <w:color w:val="auto"/>
          <w:sz w:val="24"/>
        </w:rPr>
        <w:t>表中未列的零星苗木、花卉，视其生长状况，参照以上标准补偿。</w:t>
      </w:r>
    </w:p>
    <w:p>
      <w:pPr>
        <w:widowControl/>
        <w:ind w:left="480"/>
        <w:textAlignment w:val="baseline"/>
        <w:rPr>
          <w:rFonts w:hint="eastAsia"/>
          <w:color w:val="auto"/>
          <w:sz w:val="24"/>
        </w:rPr>
      </w:pPr>
      <w:r>
        <w:rPr>
          <w:rFonts w:hint="eastAsia"/>
          <w:color w:val="auto"/>
          <w:sz w:val="24"/>
        </w:rPr>
        <w:t>2.盆栽苗木花卉不予补偿。</w:t>
      </w:r>
    </w:p>
    <w:p>
      <w:pPr>
        <w:rPr>
          <w:rFonts w:hint="eastAsia"/>
          <w:color w:val="auto"/>
          <w:sz w:val="24"/>
        </w:rPr>
      </w:pPr>
    </w:p>
    <w:p>
      <w:pPr>
        <w:rPr>
          <w:rFonts w:hint="eastAsia" w:ascii="方正黑体简体" w:eastAsia="方正黑体简体" w:cs="仿宋"/>
          <w:bCs/>
          <w:color w:val="auto"/>
          <w:sz w:val="32"/>
          <w:szCs w:val="32"/>
          <w:lang w:eastAsia="zh-CN"/>
        </w:rPr>
      </w:pPr>
      <w:r>
        <w:rPr>
          <w:color w:val="auto"/>
          <w:sz w:val="24"/>
        </w:rPr>
        <w:br w:type="page"/>
      </w:r>
      <w:r>
        <w:rPr>
          <w:rFonts w:hint="eastAsia" w:ascii="仿宋" w:hAnsi="仿宋" w:eastAsia="仿宋" w:cs="仿宋"/>
          <w:bCs/>
          <w:color w:val="auto"/>
          <w:sz w:val="32"/>
          <w:szCs w:val="32"/>
        </w:rPr>
        <w:t>附件</w:t>
      </w:r>
      <w:r>
        <w:rPr>
          <w:rFonts w:hint="eastAsia" w:ascii="仿宋" w:hAnsi="仿宋" w:eastAsia="仿宋" w:cs="仿宋"/>
          <w:bCs/>
          <w:color w:val="auto"/>
          <w:sz w:val="32"/>
          <w:szCs w:val="32"/>
          <w:lang w:val="en-US" w:eastAsia="zh-CN"/>
        </w:rPr>
        <w:t>7</w:t>
      </w:r>
    </w:p>
    <w:p>
      <w:pPr>
        <w:spacing w:line="660" w:lineRule="exact"/>
        <w:ind w:firstLine="440" w:firstLineChars="100"/>
        <w:jc w:val="center"/>
        <w:rPr>
          <w:rFonts w:hint="eastAsia" w:ascii="黑体" w:hAnsi="黑体" w:eastAsia="黑体" w:cs="黑体"/>
          <w:bCs/>
          <w:color w:val="auto"/>
          <w:sz w:val="44"/>
          <w:szCs w:val="44"/>
        </w:rPr>
      </w:pPr>
      <w:r>
        <w:rPr>
          <w:rFonts w:hint="eastAsia" w:ascii="黑体" w:hAnsi="黑体" w:eastAsia="黑体" w:cs="黑体"/>
          <w:bCs/>
          <w:color w:val="auto"/>
          <w:sz w:val="44"/>
          <w:szCs w:val="44"/>
          <w:lang w:val="en-US" w:eastAsia="zh-CN"/>
        </w:rPr>
        <w:t>新晃</w:t>
      </w:r>
      <w:r>
        <w:rPr>
          <w:rFonts w:hint="eastAsia" w:ascii="黑体" w:hAnsi="黑体" w:eastAsia="黑体" w:cs="黑体"/>
          <w:bCs/>
          <w:color w:val="auto"/>
          <w:sz w:val="44"/>
          <w:szCs w:val="44"/>
        </w:rPr>
        <w:t>集体土地上房屋征收补偿标准说明</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房屋层高的划分和测定方法：房屋的层高是指从底层地面到楼层板面的垂直高度，平房以室内地面到檐口滴水高度为准，前后有高低者取平均高度计算；楼房平屋面以室内地面至屋顶天沟地面檐口高度除以层数计算。坡屋面以檐口滴水高度除以层数计算。</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（1）钢筋砼框架结构、排架结构层高的规定：底层的基本高度3.3m，楼层高度3m。</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（2）砖混、砖木结构平房的基本高度为不低于2.7m。</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（3）简易结构的房屋、构筑物基本层高为2.2m以上（包括2.2m）。</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2.房屋结构类型的划分：主要以基础类型、主体结构（包括墙体、梁柱、楼板、屋面等）为划分依据，不同的结构类型分别套用不同的补偿标准。</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房屋面积计算：建筑物的建筑面积以有效合法证件为依据，按各层建筑面积之和计算。首层建筑面积按外墙勒脚以上结构的外围水平面积计算，二层及二层以上按外墙结构水平面积计算；突出房屋高度在2.2m以上的楼梯间、屋顶水箱分别计算建筑面积。无围护结构阳台，挑走廊按其水平面积的一半计算。山墙出檐、悬挑雨篷不计算建筑面积。建筑物层高低于2.2m（不含2.2m）的不计算建筑面积，适当予以补偿。</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集中联建安置、分散迁建安置补偿包括房屋主体建（构）筑物补偿和房屋拆除、旧料堆码、材料运输、房屋四周排水明暗沟、散水、天沟、雨篷、踏步、室内水电及基础的补偿，不包括“三通一平”和被征收的宅基地补偿。</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5.砖混结构的屋顶隔热层、架空层按平均高度计算，0.5m以下（含0.5m）的不计算补偿，高度超过0.5m的，每超过0.1m按面积每平方米补助10元，补偿高度最高不超过1.5m，超过1.5m的按1.5m计算。</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6.各类别房屋所确定的补偿标准，以建成的房屋成品为计算标准，不包括</w:t>
      </w:r>
      <w:r>
        <w:rPr>
          <w:rFonts w:hint="eastAsia" w:ascii="仿宋" w:hAnsi="仿宋" w:eastAsia="仿宋" w:cs="仿宋"/>
          <w:color w:val="auto"/>
          <w:sz w:val="28"/>
          <w:szCs w:val="28"/>
        </w:rPr>
        <w:t>室内</w:t>
      </w:r>
      <w:r>
        <w:rPr>
          <w:rFonts w:hint="eastAsia" w:ascii="仿宋" w:hAnsi="仿宋" w:eastAsia="仿宋" w:cs="仿宋"/>
          <w:color w:val="auto"/>
          <w:sz w:val="28"/>
          <w:szCs w:val="28"/>
        </w:rPr>
        <w:t>装</w:t>
      </w:r>
      <w:r>
        <w:rPr>
          <w:rFonts w:hint="eastAsia" w:ascii="仿宋" w:hAnsi="仿宋" w:eastAsia="仿宋" w:cs="仿宋"/>
          <w:color w:val="auto"/>
          <w:spacing w:val="-4"/>
          <w:sz w:val="28"/>
          <w:szCs w:val="28"/>
        </w:rPr>
        <w:t>修（饰）</w:t>
      </w:r>
      <w:r>
        <w:rPr>
          <w:rFonts w:hint="eastAsia" w:ascii="仿宋" w:hAnsi="仿宋" w:eastAsia="仿宋" w:cs="仿宋"/>
          <w:color w:val="auto"/>
          <w:sz w:val="28"/>
          <w:szCs w:val="28"/>
        </w:rPr>
        <w:t>补偿标准。</w:t>
      </w:r>
    </w:p>
    <w:p>
      <w:pPr>
        <w:ind w:firstLine="560" w:firstLineChars="200"/>
        <w:rPr>
          <w:rFonts w:hint="eastAsia" w:ascii="宋体" w:cs="宋体"/>
          <w:strike/>
          <w:color w:val="auto"/>
          <w:sz w:val="28"/>
          <w:szCs w:val="28"/>
        </w:rPr>
      </w:pPr>
    </w:p>
    <w:p>
      <w:pPr>
        <w:rPr>
          <w:rFonts w:hint="eastAsia" w:ascii="方正黑体简体" w:eastAsia="方正黑体简体" w:cs="仿宋"/>
          <w:bCs/>
          <w:color w:val="auto"/>
          <w:sz w:val="32"/>
          <w:szCs w:val="32"/>
        </w:rPr>
      </w:pPr>
      <w:r>
        <w:rPr>
          <w:color w:val="auto"/>
          <w:sz w:val="24"/>
        </w:rPr>
        <w:br w:type="page"/>
      </w:r>
      <w:r>
        <w:rPr>
          <w:rFonts w:hint="eastAsia" w:ascii="仿宋" w:hAnsi="仿宋" w:eastAsia="仿宋" w:cs="仿宋"/>
          <w:bCs/>
          <w:color w:val="auto"/>
          <w:sz w:val="32"/>
          <w:szCs w:val="32"/>
        </w:rPr>
        <w:t>附件7</w:t>
      </w:r>
    </w:p>
    <w:p>
      <w:pPr>
        <w:spacing w:line="600" w:lineRule="exact"/>
        <w:jc w:val="center"/>
        <w:rPr>
          <w:rFonts w:hint="eastAsia" w:ascii="黑体" w:hAnsi="黑体" w:eastAsia="黑体" w:cs="黑体"/>
          <w:bCs/>
          <w:color w:val="auto"/>
          <w:kern w:val="0"/>
          <w:sz w:val="44"/>
          <w:szCs w:val="44"/>
        </w:rPr>
      </w:pPr>
      <w:r>
        <w:rPr>
          <w:rFonts w:hint="eastAsia" w:ascii="黑体" w:hAnsi="黑体" w:eastAsia="黑体" w:cs="黑体"/>
          <w:bCs/>
          <w:color w:val="auto"/>
          <w:kern w:val="0"/>
          <w:sz w:val="44"/>
          <w:szCs w:val="44"/>
          <w:lang w:val="en-US" w:eastAsia="zh-CN"/>
        </w:rPr>
        <w:t>新晃县</w:t>
      </w:r>
      <w:r>
        <w:rPr>
          <w:rFonts w:hint="eastAsia" w:ascii="黑体" w:hAnsi="黑体" w:eastAsia="黑体" w:cs="黑体"/>
          <w:bCs/>
          <w:color w:val="auto"/>
          <w:kern w:val="0"/>
          <w:sz w:val="44"/>
          <w:szCs w:val="44"/>
        </w:rPr>
        <w:t>集体土地上房屋征收补偿标准</w:t>
      </w:r>
    </w:p>
    <w:p>
      <w:pPr>
        <w:jc w:val="right"/>
        <w:rPr>
          <w:rFonts w:hint="eastAsia" w:ascii="宋体" w:cs="宋体"/>
          <w:color w:val="auto"/>
          <w:kern w:val="0"/>
          <w:szCs w:val="21"/>
        </w:rPr>
      </w:pPr>
      <w:r>
        <w:rPr>
          <w:rFonts w:hint="eastAsia" w:ascii="宋体" w:cs="宋体"/>
          <w:b/>
          <w:bCs/>
          <w:color w:val="auto"/>
          <w:kern w:val="0"/>
          <w:sz w:val="24"/>
        </w:rPr>
        <w:t xml:space="preserve"> </w:t>
      </w:r>
      <w:r>
        <w:rPr>
          <w:rFonts w:hint="eastAsia" w:ascii="宋体" w:cs="宋体"/>
          <w:color w:val="auto"/>
          <w:kern w:val="0"/>
          <w:szCs w:val="21"/>
        </w:rPr>
        <w:t>（单位：元/m</w:t>
      </w:r>
      <w:r>
        <w:rPr>
          <w:rFonts w:hint="eastAsia" w:ascii="宋体" w:cs="宋体"/>
          <w:color w:val="auto"/>
          <w:kern w:val="0"/>
          <w:szCs w:val="21"/>
          <w:vertAlign w:val="superscript"/>
        </w:rPr>
        <w:t>2</w:t>
      </w:r>
      <w:r>
        <w:rPr>
          <w:rFonts w:hint="eastAsia" w:ascii="宋体" w:cs="宋体"/>
          <w:color w:val="auto"/>
          <w:kern w:val="0"/>
          <w:szCs w:val="21"/>
        </w:rPr>
        <w:t>）</w:t>
      </w:r>
    </w:p>
    <w:tbl>
      <w:tblPr>
        <w:tblStyle w:val="7"/>
        <w:tblW w:w="917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698"/>
        <w:gridCol w:w="684"/>
        <w:gridCol w:w="786"/>
        <w:gridCol w:w="715"/>
        <w:gridCol w:w="712"/>
        <w:gridCol w:w="55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78" w:hRule="atLeast"/>
          <w:jc w:val="center"/>
        </w:trPr>
        <w:tc>
          <w:tcPr>
            <w:tcW w:w="1382" w:type="dxa"/>
            <w:gridSpan w:val="2"/>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宋体" w:cs="宋体"/>
                <w:color w:val="auto"/>
                <w:kern w:val="0"/>
                <w:sz w:val="20"/>
                <w:szCs w:val="20"/>
              </w:rPr>
            </w:pPr>
            <w:r>
              <w:rPr>
                <w:rFonts w:hint="eastAsia" w:ascii="宋体" w:cs="宋体"/>
                <w:color w:val="auto"/>
                <w:kern w:val="0"/>
                <w:sz w:val="20"/>
                <w:szCs w:val="20"/>
              </w:rPr>
              <w:t>房屋类别</w:t>
            </w:r>
          </w:p>
        </w:tc>
        <w:tc>
          <w:tcPr>
            <w:tcW w:w="786" w:type="dxa"/>
            <w:vMerge w:val="restart"/>
            <w:tcBorders>
              <w:top w:val="single" w:color="auto" w:sz="4" w:space="0"/>
              <w:left w:val="nil"/>
              <w:right w:val="single" w:color="auto" w:sz="4" w:space="0"/>
            </w:tcBorders>
            <w:noWrap w:val="0"/>
            <w:vAlign w:val="center"/>
          </w:tcPr>
          <w:p>
            <w:pPr>
              <w:spacing w:line="260" w:lineRule="exact"/>
              <w:rPr>
                <w:rFonts w:hint="eastAsia" w:ascii="宋体" w:cs="宋体"/>
                <w:color w:val="auto"/>
                <w:kern w:val="0"/>
                <w:sz w:val="20"/>
                <w:szCs w:val="20"/>
              </w:rPr>
            </w:pPr>
            <w:r>
              <w:rPr>
                <w:rFonts w:hint="eastAsia" w:ascii="宋体" w:cs="宋体"/>
                <w:color w:val="auto"/>
                <w:kern w:val="0"/>
                <w:sz w:val="20"/>
                <w:szCs w:val="20"/>
              </w:rPr>
              <w:t>征收</w:t>
            </w:r>
          </w:p>
          <w:p>
            <w:pPr>
              <w:spacing w:line="260" w:lineRule="exact"/>
              <w:rPr>
                <w:rFonts w:hint="eastAsia" w:ascii="宋体" w:cs="宋体"/>
                <w:color w:val="auto"/>
                <w:kern w:val="0"/>
                <w:sz w:val="20"/>
                <w:szCs w:val="20"/>
              </w:rPr>
            </w:pPr>
            <w:r>
              <w:rPr>
                <w:rFonts w:hint="eastAsia" w:ascii="宋体" w:cs="宋体"/>
                <w:color w:val="auto"/>
                <w:kern w:val="0"/>
                <w:sz w:val="20"/>
                <w:szCs w:val="20"/>
              </w:rPr>
              <w:t>补偿价</w:t>
            </w:r>
          </w:p>
        </w:tc>
        <w:tc>
          <w:tcPr>
            <w:tcW w:w="142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cs="宋体"/>
                <w:color w:val="auto"/>
                <w:kern w:val="0"/>
                <w:sz w:val="20"/>
                <w:szCs w:val="20"/>
              </w:rPr>
            </w:pPr>
            <w:r>
              <w:rPr>
                <w:rFonts w:hint="eastAsia"/>
                <w:color w:val="auto"/>
              </w:rPr>
              <w:t>成新折算（年）</w:t>
            </w:r>
          </w:p>
        </w:tc>
        <w:tc>
          <w:tcPr>
            <w:tcW w:w="5583" w:type="dxa"/>
            <w:vMerge w:val="restart"/>
            <w:tcBorders>
              <w:top w:val="single" w:color="auto" w:sz="4" w:space="0"/>
              <w:left w:val="nil"/>
              <w:right w:val="single" w:color="auto" w:sz="4" w:space="0"/>
            </w:tcBorders>
            <w:noWrap w:val="0"/>
            <w:vAlign w:val="center"/>
          </w:tcPr>
          <w:p>
            <w:pPr>
              <w:spacing w:line="260" w:lineRule="exact"/>
              <w:jc w:val="center"/>
              <w:rPr>
                <w:rFonts w:hint="eastAsia" w:ascii="宋体" w:cs="宋体"/>
                <w:color w:val="auto"/>
                <w:kern w:val="0"/>
                <w:sz w:val="20"/>
                <w:szCs w:val="20"/>
              </w:rPr>
            </w:pPr>
            <w:r>
              <w:rPr>
                <w:rFonts w:hint="eastAsia" w:ascii="宋体" w:cs="宋体"/>
                <w:color w:val="auto"/>
                <w:kern w:val="0"/>
                <w:sz w:val="20"/>
                <w:szCs w:val="20"/>
              </w:rPr>
              <w:t>主要特征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408" w:hRule="atLeast"/>
          <w:jc w:val="center"/>
        </w:trPr>
        <w:tc>
          <w:tcPr>
            <w:tcW w:w="1382" w:type="dxa"/>
            <w:gridSpan w:val="2"/>
            <w:vMerge w:val="continue"/>
            <w:tcBorders>
              <w:left w:val="single" w:color="auto" w:sz="4" w:space="0"/>
              <w:bottom w:val="single" w:color="auto" w:sz="4" w:space="0"/>
              <w:right w:val="single" w:color="auto" w:sz="4" w:space="0"/>
            </w:tcBorders>
            <w:noWrap w:val="0"/>
            <w:vAlign w:val="center"/>
          </w:tcPr>
          <w:p>
            <w:pPr>
              <w:rPr>
                <w:color w:val="auto"/>
              </w:rPr>
            </w:pPr>
          </w:p>
        </w:tc>
        <w:tc>
          <w:tcPr>
            <w:tcW w:w="786" w:type="dxa"/>
            <w:vMerge w:val="continue"/>
            <w:tcBorders>
              <w:left w:val="nil"/>
              <w:bottom w:val="single" w:color="auto" w:sz="4" w:space="0"/>
              <w:right w:val="single" w:color="auto" w:sz="4" w:space="0"/>
            </w:tcBorders>
            <w:noWrap w:val="0"/>
            <w:vAlign w:val="center"/>
          </w:tcPr>
          <w:p>
            <w:pPr>
              <w:rPr>
                <w:color w:val="auto"/>
              </w:rPr>
            </w:pPr>
          </w:p>
        </w:tc>
        <w:tc>
          <w:tcPr>
            <w:tcW w:w="7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2"/>
                <w:szCs w:val="22"/>
              </w:rPr>
              <w:t>‹5</w:t>
            </w:r>
          </w:p>
        </w:tc>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2"/>
                <w:szCs w:val="22"/>
              </w:rPr>
              <w:t>&gt;5</w:t>
            </w:r>
          </w:p>
        </w:tc>
        <w:tc>
          <w:tcPr>
            <w:tcW w:w="5583" w:type="dxa"/>
            <w:vMerge w:val="continue"/>
            <w:tcBorders>
              <w:left w:val="nil"/>
              <w:bottom w:val="single" w:color="auto" w:sz="4" w:space="0"/>
              <w:right w:val="single" w:color="auto" w:sz="4" w:space="0"/>
            </w:tcBorders>
            <w:noWrap w:val="0"/>
            <w:vAlign w:val="center"/>
          </w:tcPr>
          <w:p>
            <w:pPr>
              <w:rPr>
                <w:color w:val="auto"/>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1566"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钢筋砼框架</w:t>
            </w:r>
          </w:p>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结构</w:t>
            </w:r>
          </w:p>
        </w:tc>
        <w:tc>
          <w:tcPr>
            <w:tcW w:w="786"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1100</w:t>
            </w:r>
          </w:p>
        </w:tc>
        <w:tc>
          <w:tcPr>
            <w:tcW w:w="715" w:type="dxa"/>
            <w:vMerge w:val="restart"/>
            <w:tcBorders>
              <w:top w:val="nil"/>
              <w:left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100%</w:t>
            </w:r>
          </w:p>
        </w:tc>
        <w:tc>
          <w:tcPr>
            <w:tcW w:w="712" w:type="dxa"/>
            <w:vMerge w:val="restart"/>
            <w:tcBorders>
              <w:top w:val="nil"/>
              <w:left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95%</w:t>
            </w:r>
          </w:p>
        </w:tc>
        <w:tc>
          <w:tcPr>
            <w:tcW w:w="5583" w:type="dxa"/>
            <w:tcBorders>
              <w:top w:val="nil"/>
              <w:left w:val="nil"/>
              <w:bottom w:val="single" w:color="auto" w:sz="4" w:space="0"/>
              <w:right w:val="single" w:color="auto" w:sz="4" w:space="0"/>
            </w:tcBorders>
            <w:noWrap w:val="0"/>
            <w:vAlign w:val="center"/>
          </w:tcPr>
          <w:p>
            <w:pPr>
              <w:spacing w:line="240" w:lineRule="exact"/>
              <w:ind w:firstLine="400" w:firstLineChars="200"/>
              <w:rPr>
                <w:rFonts w:hint="eastAsia" w:ascii="宋体" w:cs="宋体"/>
                <w:color w:val="auto"/>
                <w:kern w:val="0"/>
                <w:sz w:val="20"/>
                <w:szCs w:val="20"/>
              </w:rPr>
            </w:pPr>
            <w:r>
              <w:rPr>
                <w:rFonts w:hint="eastAsia" w:ascii="宋体" w:cs="宋体"/>
                <w:color w:val="auto"/>
                <w:kern w:val="0"/>
                <w:sz w:val="20"/>
                <w:szCs w:val="20"/>
              </w:rPr>
              <w:t>桩基础或整板基础，主体结构为全钢筋混凝土框架结构，现浇楼面、层面、楼梯、天沟，层高3m，屋面上部应有架空隔热层或平瓦坡屋面、24cm眠墙，地面砖或水磨石地面，外墙面钢砖，内墙水泥抹光且刷仿瓷涂料罩面，铝合金门窗、纱窗，油漆木制门及纱门，水、电、卫生设施和厨房设施配套齐全，封闭阳台，入户防盗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1695" w:hRule="atLeast"/>
          <w:jc w:val="center"/>
        </w:trPr>
        <w:tc>
          <w:tcPr>
            <w:tcW w:w="698"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砖混</w:t>
            </w:r>
          </w:p>
        </w:tc>
        <w:tc>
          <w:tcPr>
            <w:tcW w:w="68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一类</w:t>
            </w:r>
          </w:p>
        </w:tc>
        <w:tc>
          <w:tcPr>
            <w:tcW w:w="786"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900</w:t>
            </w:r>
          </w:p>
        </w:tc>
        <w:tc>
          <w:tcPr>
            <w:tcW w:w="715" w:type="dxa"/>
            <w:vMerge w:val="continue"/>
            <w:tcBorders>
              <w:left w:val="single" w:color="auto" w:sz="4" w:space="0"/>
              <w:right w:val="single" w:color="auto" w:sz="4" w:space="0"/>
            </w:tcBorders>
            <w:noWrap w:val="0"/>
            <w:vAlign w:val="center"/>
          </w:tcPr>
          <w:p>
            <w:pPr>
              <w:rPr>
                <w:color w:val="auto"/>
              </w:rPr>
            </w:pPr>
          </w:p>
        </w:tc>
        <w:tc>
          <w:tcPr>
            <w:tcW w:w="712" w:type="dxa"/>
            <w:vMerge w:val="continue"/>
            <w:tcBorders>
              <w:left w:val="single" w:color="auto" w:sz="4" w:space="0"/>
              <w:right w:val="single" w:color="auto" w:sz="4" w:space="0"/>
            </w:tcBorders>
            <w:noWrap w:val="0"/>
            <w:vAlign w:val="center"/>
          </w:tcPr>
          <w:p>
            <w:pPr>
              <w:rPr>
                <w:color w:val="auto"/>
              </w:rPr>
            </w:pPr>
          </w:p>
        </w:tc>
        <w:tc>
          <w:tcPr>
            <w:tcW w:w="5583"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　　标准砖石基础或桩基础，基础深度1.2m以上，钢筋砼地梁，层层有串梁，规定的构造柱，钢筋砼楼面、屋面、楼梯、天沟，屋面上部应有架空隔热层或者平瓦坡屋面，层高3m，24cm眠墙，外墙水刷石，内墙水泥抹光刷仿瓷涂料罩面，油漆木制门及纱门，铝合金窗、纱窗、亮玻璃，室内水泥地面、独立厨房、无烟灶台、水冲厕所、水电进户（含室内管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135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68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二类</w:t>
            </w:r>
          </w:p>
        </w:tc>
        <w:tc>
          <w:tcPr>
            <w:tcW w:w="786"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830</w:t>
            </w:r>
          </w:p>
        </w:tc>
        <w:tc>
          <w:tcPr>
            <w:tcW w:w="715" w:type="dxa"/>
            <w:vMerge w:val="continue"/>
            <w:tcBorders>
              <w:left w:val="single" w:color="auto" w:sz="4" w:space="0"/>
              <w:bottom w:val="single" w:color="auto" w:sz="4" w:space="0"/>
              <w:right w:val="single" w:color="auto" w:sz="4" w:space="0"/>
            </w:tcBorders>
            <w:noWrap w:val="0"/>
            <w:vAlign w:val="center"/>
          </w:tcPr>
          <w:p>
            <w:pPr>
              <w:rPr>
                <w:color w:val="auto"/>
              </w:rPr>
            </w:pPr>
          </w:p>
        </w:tc>
        <w:tc>
          <w:tcPr>
            <w:tcW w:w="712" w:type="dxa"/>
            <w:vMerge w:val="continue"/>
            <w:tcBorders>
              <w:left w:val="single" w:color="auto" w:sz="4" w:space="0"/>
              <w:bottom w:val="single" w:color="auto" w:sz="4" w:space="0"/>
              <w:right w:val="single" w:color="auto" w:sz="4" w:space="0"/>
            </w:tcBorders>
            <w:noWrap w:val="0"/>
            <w:vAlign w:val="center"/>
          </w:tcPr>
          <w:p>
            <w:pPr>
              <w:rPr>
                <w:color w:val="auto"/>
              </w:rPr>
            </w:pPr>
          </w:p>
        </w:tc>
        <w:tc>
          <w:tcPr>
            <w:tcW w:w="5583"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　　标准砖石基础，基础深渡1.2m以上，钢筋砼地梁，钢筋砼预制楼面、层面、楼梯、天沟，屋面上部有架空隔热或者平瓦坡屋面、层高3m，24cm斗墙，外墙粗砂灰，内墙粉纸筋且“106”涂料罩面、油漆木制门窗、纱门窗、亮玻璃，室内水泥地面、独立厨房，水冲厕所、水电进户（含室内管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676"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砖木</w:t>
            </w:r>
          </w:p>
        </w:tc>
        <w:tc>
          <w:tcPr>
            <w:tcW w:w="786"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650</w:t>
            </w:r>
          </w:p>
        </w:tc>
        <w:tc>
          <w:tcPr>
            <w:tcW w:w="1427" w:type="dxa"/>
            <w:gridSpan w:val="2"/>
            <w:vMerge w:val="restart"/>
            <w:tcBorders>
              <w:top w:val="nil"/>
              <w:left w:val="single" w:color="auto" w:sz="4" w:space="0"/>
              <w:right w:val="single" w:color="auto" w:sz="4" w:space="0"/>
            </w:tcBorders>
            <w:noWrap w:val="0"/>
            <w:vAlign w:val="center"/>
          </w:tcPr>
          <w:p>
            <w:pPr>
              <w:spacing w:line="240" w:lineRule="exact"/>
              <w:ind w:firstLine="400" w:firstLineChars="200"/>
              <w:rPr>
                <w:rFonts w:hint="eastAsia" w:ascii="宋体" w:cs="宋体"/>
                <w:color w:val="auto"/>
                <w:kern w:val="0"/>
                <w:sz w:val="20"/>
                <w:szCs w:val="20"/>
              </w:rPr>
            </w:pPr>
            <w:r>
              <w:rPr>
                <w:rFonts w:hint="eastAsia" w:ascii="宋体" w:cs="宋体"/>
                <w:color w:val="auto"/>
                <w:kern w:val="0"/>
                <w:sz w:val="20"/>
                <w:szCs w:val="20"/>
              </w:rPr>
              <w:t>100%</w:t>
            </w:r>
          </w:p>
        </w:tc>
        <w:tc>
          <w:tcPr>
            <w:tcW w:w="5583" w:type="dxa"/>
            <w:tcBorders>
              <w:top w:val="nil"/>
              <w:left w:val="nil"/>
              <w:bottom w:val="single" w:color="auto" w:sz="4" w:space="0"/>
              <w:right w:val="single" w:color="auto" w:sz="4" w:space="0"/>
            </w:tcBorders>
            <w:noWrap w:val="0"/>
            <w:vAlign w:val="center"/>
          </w:tcPr>
          <w:p>
            <w:pPr>
              <w:spacing w:line="240" w:lineRule="exact"/>
              <w:ind w:firstLine="400" w:firstLineChars="200"/>
              <w:rPr>
                <w:rFonts w:hint="eastAsia" w:ascii="宋体" w:cs="宋体"/>
                <w:color w:val="auto"/>
                <w:kern w:val="0"/>
                <w:sz w:val="20"/>
                <w:szCs w:val="20"/>
              </w:rPr>
            </w:pPr>
            <w:r>
              <w:rPr>
                <w:rFonts w:hint="eastAsia" w:ascii="宋体" w:cs="宋体"/>
                <w:color w:val="auto"/>
                <w:kern w:val="0"/>
                <w:sz w:val="20"/>
                <w:szCs w:val="20"/>
              </w:rPr>
              <w:t>砖石基础，基础深度0.5m，24cm眠墙，瓦屋面，前后檐口高度不低于3m，外墙清水，内墙粉灰或涂料罩面。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861"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砖木偏房</w:t>
            </w:r>
          </w:p>
        </w:tc>
        <w:tc>
          <w:tcPr>
            <w:tcW w:w="786"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380</w:t>
            </w:r>
          </w:p>
        </w:tc>
        <w:tc>
          <w:tcPr>
            <w:tcW w:w="1427" w:type="dxa"/>
            <w:gridSpan w:val="2"/>
            <w:vMerge w:val="continue"/>
            <w:tcBorders>
              <w:left w:val="single" w:color="auto" w:sz="4" w:space="0"/>
              <w:right w:val="single" w:color="auto" w:sz="4" w:space="0"/>
            </w:tcBorders>
            <w:noWrap w:val="0"/>
            <w:vAlign w:val="center"/>
          </w:tcPr>
          <w:p>
            <w:pPr>
              <w:rPr>
                <w:color w:val="auto"/>
              </w:rPr>
            </w:pPr>
          </w:p>
        </w:tc>
        <w:tc>
          <w:tcPr>
            <w:tcW w:w="5583" w:type="dxa"/>
            <w:tcBorders>
              <w:top w:val="nil"/>
              <w:left w:val="nil"/>
              <w:bottom w:val="single" w:color="auto" w:sz="4" w:space="0"/>
              <w:right w:val="single" w:color="auto" w:sz="4" w:space="0"/>
            </w:tcBorders>
            <w:noWrap w:val="0"/>
            <w:vAlign w:val="center"/>
          </w:tcPr>
          <w:p>
            <w:pPr>
              <w:spacing w:line="240" w:lineRule="exact"/>
              <w:ind w:firstLine="400" w:firstLineChars="200"/>
              <w:rPr>
                <w:rFonts w:hint="eastAsia" w:ascii="宋体" w:cs="宋体"/>
                <w:color w:val="auto"/>
                <w:kern w:val="0"/>
                <w:sz w:val="20"/>
                <w:szCs w:val="20"/>
              </w:rPr>
            </w:pPr>
            <w:r>
              <w:rPr>
                <w:rFonts w:hint="eastAsia" w:ascii="宋体" w:cs="宋体"/>
                <w:color w:val="auto"/>
                <w:kern w:val="0"/>
                <w:sz w:val="20"/>
                <w:szCs w:val="20"/>
              </w:rPr>
              <w:t>标准砖石基础，基础深度0.5m以上，杂砖和土筑混砌墙，木屋架，瓦屋面，前后檐口高度2.8m以上，水泥地面或三合土地面，普通门窗，水电进户（含室内管线）。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803"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木结构类</w:t>
            </w:r>
          </w:p>
        </w:tc>
        <w:tc>
          <w:tcPr>
            <w:tcW w:w="786"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450</w:t>
            </w:r>
          </w:p>
        </w:tc>
        <w:tc>
          <w:tcPr>
            <w:tcW w:w="1427" w:type="dxa"/>
            <w:gridSpan w:val="2"/>
            <w:vMerge w:val="continue"/>
            <w:tcBorders>
              <w:left w:val="single" w:color="auto" w:sz="4" w:space="0"/>
              <w:right w:val="single" w:color="auto" w:sz="4" w:space="0"/>
            </w:tcBorders>
            <w:noWrap w:val="0"/>
            <w:vAlign w:val="center"/>
          </w:tcPr>
          <w:p>
            <w:pPr>
              <w:rPr>
                <w:color w:val="auto"/>
              </w:rPr>
            </w:pPr>
          </w:p>
        </w:tc>
        <w:tc>
          <w:tcPr>
            <w:tcW w:w="5583"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　　标准砖石基础，基础深度0.5m以上，木桩屋梁，木板墙或卡砖墙，瓦屋面，前后檐口高度2.8m以上，油漆木制门窗，水电进户（含室内管线）。三合土地面或水泥地面。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803"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杂屋类</w:t>
            </w:r>
          </w:p>
        </w:tc>
        <w:tc>
          <w:tcPr>
            <w:tcW w:w="786" w:type="dxa"/>
            <w:tcBorders>
              <w:top w:val="nil"/>
              <w:left w:val="single" w:color="auto" w:sz="4" w:space="0"/>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180</w:t>
            </w:r>
          </w:p>
        </w:tc>
        <w:tc>
          <w:tcPr>
            <w:tcW w:w="1427" w:type="dxa"/>
            <w:gridSpan w:val="2"/>
            <w:vMerge w:val="continue"/>
            <w:tcBorders>
              <w:left w:val="single" w:color="auto" w:sz="4" w:space="0"/>
              <w:right w:val="single" w:color="auto" w:sz="4" w:space="0"/>
            </w:tcBorders>
            <w:noWrap w:val="0"/>
            <w:vAlign w:val="center"/>
          </w:tcPr>
          <w:p>
            <w:pPr>
              <w:rPr>
                <w:color w:val="auto"/>
              </w:rPr>
            </w:pPr>
          </w:p>
        </w:tc>
        <w:tc>
          <w:tcPr>
            <w:tcW w:w="5583"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　　砖石基础，基础深度0.5m，杂砖墙，瓦屋面，檐口高度1.8m以上，三合土地面或水泥地面；厕所、猪牛栏、堆放杂物的房屋。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51"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 w:val="20"/>
                <w:szCs w:val="20"/>
              </w:rPr>
            </w:pPr>
            <w:r>
              <w:rPr>
                <w:rFonts w:hint="eastAsia" w:ascii="宋体" w:cs="宋体"/>
                <w:color w:val="auto"/>
                <w:kern w:val="0"/>
                <w:sz w:val="20"/>
                <w:szCs w:val="20"/>
              </w:rPr>
              <w:t>空心砖</w:t>
            </w:r>
          </w:p>
        </w:tc>
        <w:tc>
          <w:tcPr>
            <w:tcW w:w="786"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450</w:t>
            </w:r>
          </w:p>
        </w:tc>
        <w:tc>
          <w:tcPr>
            <w:tcW w:w="1427" w:type="dxa"/>
            <w:gridSpan w:val="2"/>
            <w:tcBorders>
              <w:left w:val="single" w:color="auto" w:sz="4" w:space="0"/>
              <w:bottom w:val="single" w:color="auto" w:sz="4" w:space="0"/>
              <w:right w:val="single" w:color="auto" w:sz="4" w:space="0"/>
            </w:tcBorders>
            <w:noWrap w:val="0"/>
            <w:vAlign w:val="center"/>
          </w:tcPr>
          <w:p>
            <w:pPr>
              <w:spacing w:line="240" w:lineRule="exact"/>
              <w:ind w:firstLine="400" w:firstLineChars="200"/>
              <w:rPr>
                <w:rFonts w:hint="eastAsia" w:ascii="宋体" w:cs="宋体"/>
                <w:color w:val="auto"/>
                <w:kern w:val="0"/>
                <w:sz w:val="20"/>
                <w:szCs w:val="20"/>
              </w:rPr>
            </w:pPr>
            <w:r>
              <w:rPr>
                <w:rFonts w:hint="eastAsia" w:ascii="宋体" w:cs="宋体"/>
                <w:color w:val="auto"/>
                <w:kern w:val="0"/>
                <w:sz w:val="20"/>
                <w:szCs w:val="20"/>
              </w:rPr>
              <w:t>100%</w:t>
            </w:r>
          </w:p>
        </w:tc>
        <w:tc>
          <w:tcPr>
            <w:tcW w:w="55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cs="宋体"/>
                <w:color w:val="auto"/>
                <w:kern w:val="0"/>
                <w:sz w:val="20"/>
                <w:szCs w:val="20"/>
              </w:rPr>
            </w:pPr>
            <w:r>
              <w:rPr>
                <w:rFonts w:hint="eastAsia" w:ascii="宋体" w:cs="宋体"/>
                <w:color w:val="auto"/>
                <w:kern w:val="0"/>
                <w:sz w:val="20"/>
                <w:szCs w:val="20"/>
              </w:rPr>
              <w:t>参照木结构类房屋补偿标准执行</w:t>
            </w:r>
          </w:p>
        </w:tc>
      </w:tr>
    </w:tbl>
    <w:p>
      <w:pPr>
        <w:ind w:left="798" w:hanging="798" w:hangingChars="380"/>
        <w:rPr>
          <w:rFonts w:hint="eastAsia"/>
          <w:strike/>
          <w:color w:val="auto"/>
          <w:szCs w:val="21"/>
        </w:rPr>
      </w:pPr>
      <w:r>
        <w:rPr>
          <w:rFonts w:hint="eastAsia"/>
          <w:color w:val="auto"/>
          <w:szCs w:val="21"/>
        </w:rPr>
        <w:t>注：1.以上各类房屋的补偿标准系指集体土地上房屋的征收补偿单价。</w:t>
      </w:r>
    </w:p>
    <w:p>
      <w:pPr>
        <w:ind w:left="640" w:leftChars="192" w:hanging="237" w:hangingChars="113"/>
        <w:rPr>
          <w:rFonts w:hint="eastAsia" w:ascii="宋体"/>
          <w:color w:val="auto"/>
          <w:szCs w:val="21"/>
        </w:rPr>
      </w:pPr>
      <w:r>
        <w:rPr>
          <w:rFonts w:hint="eastAsia" w:ascii="宋体"/>
          <w:color w:val="auto"/>
          <w:szCs w:val="21"/>
        </w:rPr>
        <w:t>2.上述房屋主要特征中的子项目，如有增减，按有关规定增减补偿；层高在上述标准规定的层高增减10cm以内的，不增加或减少补偿；层高增加或减少超过10cm以上的，每增减10cm，工业用房增减5%，其他房屋增减3%。</w:t>
      </w:r>
    </w:p>
    <w:p>
      <w:pPr>
        <w:ind w:left="640" w:leftChars="192" w:hanging="237" w:hangingChars="113"/>
        <w:rPr>
          <w:rFonts w:hint="eastAsia" w:ascii="宋体"/>
          <w:color w:val="auto"/>
          <w:szCs w:val="21"/>
        </w:rPr>
      </w:pPr>
      <w:r>
        <w:rPr>
          <w:rFonts w:hint="eastAsia" w:ascii="宋体"/>
          <w:color w:val="auto"/>
          <w:szCs w:val="21"/>
        </w:rPr>
        <w:t>3.房屋建筑面积的测量计算按GB/T50353—2013《建筑工程建筑面积计算规范》规定的标准执行。</w:t>
      </w:r>
    </w:p>
    <w:p>
      <w:pPr>
        <w:rPr>
          <w:color w:val="auto"/>
        </w:rPr>
      </w:pPr>
    </w:p>
    <w:p>
      <w:pPr>
        <w:rPr>
          <w:rFonts w:hint="eastAsia" w:ascii="方正黑体简体" w:eastAsia="方正黑体简体" w:cs="仿宋"/>
          <w:bCs/>
          <w:color w:val="auto"/>
          <w:sz w:val="32"/>
          <w:szCs w:val="32"/>
        </w:rPr>
      </w:pPr>
      <w:r>
        <w:rPr>
          <w:rFonts w:ascii="方正黑体简体" w:eastAsia="方正黑体简体" w:cs="仿宋"/>
          <w:bCs/>
          <w:color w:val="auto"/>
          <w:sz w:val="32"/>
          <w:szCs w:val="32"/>
        </w:rPr>
        <w:br w:type="page"/>
      </w:r>
      <w:r>
        <w:rPr>
          <w:rFonts w:hint="eastAsia" w:ascii="仿宋" w:hAnsi="仿宋" w:eastAsia="仿宋" w:cs="仿宋"/>
          <w:bCs/>
          <w:color w:val="auto"/>
          <w:sz w:val="32"/>
          <w:szCs w:val="32"/>
        </w:rPr>
        <w:t>附件8</w:t>
      </w:r>
    </w:p>
    <w:p>
      <w:pPr>
        <w:rPr>
          <w:rFonts w:hint="eastAsia"/>
          <w:b/>
          <w:bCs/>
          <w:color w:val="auto"/>
          <w:sz w:val="24"/>
        </w:rPr>
      </w:pPr>
    </w:p>
    <w:p>
      <w:pPr>
        <w:jc w:val="center"/>
        <w:rPr>
          <w:rFonts w:hint="eastAsia" w:ascii="方正小标宋简体" w:eastAsia="方正小标宋简体"/>
          <w:bCs/>
          <w:color w:val="auto"/>
          <w:sz w:val="44"/>
          <w:szCs w:val="44"/>
        </w:rPr>
      </w:pPr>
      <w:r>
        <w:rPr>
          <w:rFonts w:hint="eastAsia" w:ascii="方正小标宋简体" w:eastAsia="方正小标宋简体" w:cs="黑体"/>
          <w:bCs/>
          <w:color w:val="auto"/>
          <w:sz w:val="44"/>
          <w:szCs w:val="44"/>
          <w:lang w:val="en-US" w:eastAsia="zh-CN"/>
        </w:rPr>
        <w:t>新晃县</w:t>
      </w:r>
      <w:r>
        <w:rPr>
          <w:rFonts w:hint="eastAsia" w:ascii="方正小标宋简体" w:eastAsia="方正小标宋简体" w:cs="黑体"/>
          <w:bCs/>
          <w:color w:val="auto"/>
          <w:sz w:val="44"/>
          <w:szCs w:val="44"/>
        </w:rPr>
        <w:t>房屋装修（饰）补偿标准</w:t>
      </w:r>
    </w:p>
    <w:p>
      <w:pPr>
        <w:jc w:val="right"/>
        <w:rPr>
          <w:rFonts w:hint="eastAsia" w:ascii="方正小标宋简体" w:eastAsia="方正小标宋简体"/>
          <w:bCs/>
          <w:color w:val="auto"/>
          <w:sz w:val="44"/>
          <w:szCs w:val="44"/>
        </w:rPr>
      </w:pPr>
      <w:r>
        <w:rPr>
          <w:rFonts w:hint="eastAsia" w:ascii="宋体" w:cs="宋体"/>
          <w:color w:val="auto"/>
          <w:kern w:val="0"/>
          <w:szCs w:val="21"/>
        </w:rPr>
        <w:t>（单位：元/m</w:t>
      </w:r>
      <w:r>
        <w:rPr>
          <w:rFonts w:hint="eastAsia" w:ascii="宋体" w:cs="宋体"/>
          <w:color w:val="auto"/>
          <w:kern w:val="0"/>
          <w:szCs w:val="21"/>
          <w:vertAlign w:val="superscript"/>
        </w:rPr>
        <w:t>2</w:t>
      </w:r>
      <w:r>
        <w:rPr>
          <w:rFonts w:hint="eastAsia" w:ascii="宋体" w:cs="宋体"/>
          <w:color w:val="auto"/>
          <w:kern w:val="0"/>
          <w:szCs w:val="21"/>
        </w:rPr>
        <w:t>）</w:t>
      </w:r>
    </w:p>
    <w:tbl>
      <w:tblPr>
        <w:tblStyle w:val="7"/>
        <w:tblW w:w="9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668"/>
        <w:gridCol w:w="991"/>
        <w:gridCol w:w="3353"/>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02" w:type="dxa"/>
            <w:noWrap w:val="0"/>
            <w:vAlign w:val="top"/>
          </w:tcPr>
          <w:p>
            <w:pPr>
              <w:rPr>
                <w:color w:val="auto"/>
              </w:rPr>
            </w:pPr>
            <w:r>
              <w:rPr>
                <w:rFonts w:hint="eastAsia"/>
                <w:color w:val="auto"/>
              </w:rPr>
              <w:t>房屋类别</w:t>
            </w:r>
          </w:p>
        </w:tc>
        <w:tc>
          <w:tcPr>
            <w:tcW w:w="1659" w:type="dxa"/>
            <w:gridSpan w:val="2"/>
            <w:noWrap w:val="0"/>
            <w:vAlign w:val="top"/>
          </w:tcPr>
          <w:p>
            <w:pPr>
              <w:rPr>
                <w:color w:val="auto"/>
              </w:rPr>
            </w:pPr>
            <w:r>
              <w:rPr>
                <w:rFonts w:hint="eastAsia"/>
                <w:color w:val="auto"/>
              </w:rPr>
              <w:t>最高补偿标准</w:t>
            </w:r>
          </w:p>
        </w:tc>
        <w:tc>
          <w:tcPr>
            <w:tcW w:w="3353" w:type="dxa"/>
            <w:noWrap w:val="0"/>
            <w:vAlign w:val="top"/>
          </w:tcPr>
          <w:p>
            <w:pPr>
              <w:ind w:firstLine="840" w:firstLineChars="400"/>
              <w:rPr>
                <w:rFonts w:hint="eastAsia" w:eastAsia="方正小标宋简体"/>
                <w:color w:val="auto"/>
              </w:rPr>
            </w:pPr>
            <w:r>
              <w:rPr>
                <w:rFonts w:hint="eastAsia"/>
                <w:color w:val="auto"/>
              </w:rPr>
              <w:t>装修（饰）要求</w:t>
            </w:r>
          </w:p>
        </w:tc>
        <w:tc>
          <w:tcPr>
            <w:tcW w:w="3104" w:type="dxa"/>
            <w:noWrap w:val="0"/>
            <w:vAlign w:val="top"/>
          </w:tcPr>
          <w:p>
            <w:pPr>
              <w:ind w:firstLine="1470" w:firstLineChars="700"/>
              <w:rPr>
                <w:color w:val="auto"/>
              </w:rPr>
            </w:pPr>
            <w:r>
              <w:rPr>
                <w:rFonts w:hint="eastAsia"/>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1202" w:type="dxa"/>
            <w:noWrap w:val="0"/>
            <w:vAlign w:val="center"/>
          </w:tcPr>
          <w:p>
            <w:pPr>
              <w:jc w:val="center"/>
              <w:rPr>
                <w:color w:val="auto"/>
              </w:rPr>
            </w:pPr>
            <w:r>
              <w:rPr>
                <w:rFonts w:hint="eastAsia" w:ascii="宋体" w:cs="宋体"/>
                <w:color w:val="auto"/>
                <w:kern w:val="0"/>
                <w:sz w:val="20"/>
                <w:szCs w:val="20"/>
              </w:rPr>
              <w:t>钢筋砼框架结构</w:t>
            </w:r>
          </w:p>
        </w:tc>
        <w:tc>
          <w:tcPr>
            <w:tcW w:w="1659" w:type="dxa"/>
            <w:gridSpan w:val="2"/>
            <w:noWrap w:val="0"/>
            <w:vAlign w:val="center"/>
          </w:tcPr>
          <w:p>
            <w:pPr>
              <w:ind w:firstLine="630" w:firstLineChars="300"/>
              <w:jc w:val="center"/>
              <w:rPr>
                <w:color w:val="auto"/>
              </w:rPr>
            </w:pPr>
            <w:r>
              <w:rPr>
                <w:rFonts w:hint="eastAsia"/>
                <w:color w:val="auto"/>
              </w:rPr>
              <w:t>600</w:t>
            </w:r>
          </w:p>
        </w:tc>
        <w:tc>
          <w:tcPr>
            <w:tcW w:w="3353" w:type="dxa"/>
            <w:vMerge w:val="restart"/>
            <w:noWrap w:val="0"/>
            <w:vAlign w:val="top"/>
          </w:tcPr>
          <w:p>
            <w:pPr>
              <w:pStyle w:val="12"/>
              <w:tabs>
                <w:tab w:val="left" w:pos="370"/>
              </w:tabs>
              <w:spacing w:line="300" w:lineRule="exact"/>
              <w:rPr>
                <w:rFonts w:hint="eastAsia"/>
                <w:color w:val="auto"/>
                <w:kern w:val="0"/>
                <w:sz w:val="20"/>
                <w:szCs w:val="20"/>
                <w:lang w:val="en-US" w:eastAsia="zh-CN" w:bidi="ar-SA"/>
              </w:rPr>
            </w:pPr>
            <w:r>
              <w:rPr>
                <w:rFonts w:hint="eastAsia"/>
                <w:color w:val="auto"/>
                <w:kern w:val="0"/>
                <w:sz w:val="20"/>
                <w:szCs w:val="20"/>
                <w:lang w:val="en-US" w:eastAsia="zh-CN" w:bidi="ar-SA"/>
              </w:rPr>
              <w:t>1.室内地面（含防潮层）：防滑地面砖、花岗岩、大理石或实木、仿实木地板；2.室内墙面：贴瓷、刮涂、各类木质板材质墙裙；3.室内</w:t>
            </w:r>
            <w:r>
              <w:rPr>
                <w:rFonts w:hint="eastAsia"/>
                <w:color w:val="auto"/>
                <w:kern w:val="0"/>
                <w:sz w:val="20"/>
                <w:szCs w:val="20"/>
                <w:lang w:val="zh-CN" w:eastAsia="zh-CN" w:bidi="ar-SA"/>
              </w:rPr>
              <w:t>顶</w:t>
            </w:r>
            <w:r>
              <w:rPr>
                <w:rFonts w:hint="eastAsia"/>
                <w:color w:val="auto"/>
                <w:kern w:val="0"/>
                <w:sz w:val="20"/>
                <w:szCs w:val="20"/>
                <w:lang w:val="en-US" w:eastAsia="zh-CN" w:bidi="ar-SA"/>
              </w:rPr>
              <w:t>面：一级吊顶以上标准；4.厨房、厕所、洗漱间：墙面</w:t>
            </w:r>
            <w:r>
              <w:rPr>
                <w:rFonts w:hint="eastAsia"/>
                <w:color w:val="auto"/>
                <w:kern w:val="0"/>
                <w:sz w:val="20"/>
                <w:szCs w:val="20"/>
                <w:lang w:val="zh-CN" w:eastAsia="zh-CN" w:bidi="ar-SA"/>
              </w:rPr>
              <w:t>贴</w:t>
            </w:r>
            <w:r>
              <w:rPr>
                <w:rFonts w:hint="eastAsia"/>
                <w:color w:val="auto"/>
                <w:kern w:val="0"/>
                <w:sz w:val="20"/>
                <w:szCs w:val="20"/>
                <w:lang w:val="en-US" w:eastAsia="zh-CN" w:bidi="ar-SA"/>
              </w:rPr>
              <w:t>瓷；室内设施齐全；5.外墙正面和两侧:贴面砖,其他为干粘石以上标准；6.门、窗、网蓬、门窗套：各类防盗门、各类材质装饰门；塑钢、铝合金玻璃窗；各类金属材质防盗网、雨篷；门窗套为水曲柳或仿榉木板以上标准；7.室内设施：室内壁柜等设施齐全。</w:t>
            </w:r>
          </w:p>
        </w:tc>
        <w:tc>
          <w:tcPr>
            <w:tcW w:w="3104" w:type="dxa"/>
            <w:vMerge w:val="restart"/>
            <w:noWrap w:val="0"/>
            <w:vAlign w:val="center"/>
          </w:tcPr>
          <w:p>
            <w:pPr>
              <w:pStyle w:val="12"/>
              <w:tabs>
                <w:tab w:val="left" w:pos="370"/>
              </w:tabs>
              <w:spacing w:line="300" w:lineRule="exact"/>
              <w:rPr>
                <w:rFonts w:hint="eastAsia"/>
                <w:color w:val="auto"/>
                <w:kern w:val="0"/>
                <w:sz w:val="20"/>
                <w:szCs w:val="20"/>
                <w:lang w:val="en-US" w:eastAsia="zh-CN" w:bidi="ar-SA"/>
              </w:rPr>
            </w:pPr>
            <w:r>
              <w:rPr>
                <w:rFonts w:hint="eastAsia"/>
                <w:color w:val="auto"/>
                <w:kern w:val="0"/>
                <w:sz w:val="20"/>
                <w:szCs w:val="20"/>
                <w:lang w:val="en-US" w:eastAsia="zh-CN" w:bidi="ar-SA"/>
              </w:rPr>
              <w:t>1.房屋主体部分每缺少一项扣减40元/㎡；2.以上补偿只限合法房屋或经认定后视同为合法房屋装（修）饰的补偿；3.以上补偿按房屋主体建筑面积计算；4.砖混一层平顶房按补偿标准增加10%的补偿。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1202" w:type="dxa"/>
            <w:vMerge w:val="restart"/>
            <w:noWrap w:val="0"/>
            <w:vAlign w:val="center"/>
          </w:tcPr>
          <w:p>
            <w:pPr>
              <w:jc w:val="center"/>
              <w:rPr>
                <w:rFonts w:hint="eastAsia"/>
                <w:color w:val="auto"/>
              </w:rPr>
            </w:pPr>
            <w:r>
              <w:rPr>
                <w:rFonts w:hint="eastAsia"/>
                <w:color w:val="auto"/>
              </w:rPr>
              <w:t>砖混</w:t>
            </w:r>
          </w:p>
        </w:tc>
        <w:tc>
          <w:tcPr>
            <w:tcW w:w="668" w:type="dxa"/>
            <w:noWrap w:val="0"/>
            <w:vAlign w:val="center"/>
          </w:tcPr>
          <w:p>
            <w:pPr>
              <w:jc w:val="center"/>
              <w:rPr>
                <w:rFonts w:hint="eastAsia"/>
                <w:color w:val="auto"/>
              </w:rPr>
            </w:pPr>
            <w:r>
              <w:rPr>
                <w:rFonts w:hint="eastAsia"/>
                <w:color w:val="auto"/>
              </w:rPr>
              <w:t>一类</w:t>
            </w:r>
          </w:p>
        </w:tc>
        <w:tc>
          <w:tcPr>
            <w:tcW w:w="991" w:type="dxa"/>
            <w:noWrap w:val="0"/>
            <w:vAlign w:val="center"/>
          </w:tcPr>
          <w:p>
            <w:pPr>
              <w:jc w:val="center"/>
              <w:rPr>
                <w:color w:val="auto"/>
              </w:rPr>
            </w:pPr>
            <w:r>
              <w:rPr>
                <w:rFonts w:hint="eastAsia"/>
                <w:color w:val="auto"/>
              </w:rPr>
              <w:t>500</w:t>
            </w:r>
          </w:p>
        </w:tc>
        <w:tc>
          <w:tcPr>
            <w:tcW w:w="3353" w:type="dxa"/>
            <w:vMerge w:val="continue"/>
            <w:noWrap w:val="0"/>
            <w:vAlign w:val="top"/>
          </w:tcPr>
          <w:p>
            <w:pPr>
              <w:spacing w:line="300" w:lineRule="exact"/>
              <w:rPr>
                <w:color w:val="auto"/>
              </w:rPr>
            </w:pPr>
          </w:p>
        </w:tc>
        <w:tc>
          <w:tcPr>
            <w:tcW w:w="3104" w:type="dxa"/>
            <w:vMerge w:val="continue"/>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202" w:type="dxa"/>
            <w:vMerge w:val="continue"/>
            <w:noWrap w:val="0"/>
            <w:vAlign w:val="center"/>
          </w:tcPr>
          <w:p>
            <w:pPr>
              <w:jc w:val="center"/>
              <w:rPr>
                <w:color w:val="auto"/>
              </w:rPr>
            </w:pPr>
          </w:p>
        </w:tc>
        <w:tc>
          <w:tcPr>
            <w:tcW w:w="668" w:type="dxa"/>
            <w:noWrap w:val="0"/>
            <w:vAlign w:val="center"/>
          </w:tcPr>
          <w:p>
            <w:pPr>
              <w:jc w:val="center"/>
              <w:rPr>
                <w:rFonts w:hint="eastAsia"/>
                <w:color w:val="auto"/>
              </w:rPr>
            </w:pPr>
            <w:r>
              <w:rPr>
                <w:rFonts w:hint="eastAsia"/>
                <w:color w:val="auto"/>
              </w:rPr>
              <w:t>二类</w:t>
            </w:r>
          </w:p>
        </w:tc>
        <w:tc>
          <w:tcPr>
            <w:tcW w:w="991" w:type="dxa"/>
            <w:noWrap w:val="0"/>
            <w:vAlign w:val="center"/>
          </w:tcPr>
          <w:p>
            <w:pPr>
              <w:jc w:val="center"/>
              <w:rPr>
                <w:color w:val="auto"/>
              </w:rPr>
            </w:pPr>
            <w:r>
              <w:rPr>
                <w:rFonts w:hint="eastAsia"/>
                <w:color w:val="auto"/>
              </w:rPr>
              <w:t>450</w:t>
            </w:r>
          </w:p>
        </w:tc>
        <w:tc>
          <w:tcPr>
            <w:tcW w:w="3353" w:type="dxa"/>
            <w:vMerge w:val="continue"/>
            <w:noWrap w:val="0"/>
            <w:vAlign w:val="top"/>
          </w:tcPr>
          <w:p>
            <w:pPr>
              <w:spacing w:line="300" w:lineRule="exact"/>
              <w:rPr>
                <w:color w:val="auto"/>
              </w:rPr>
            </w:pPr>
          </w:p>
        </w:tc>
        <w:tc>
          <w:tcPr>
            <w:tcW w:w="3104" w:type="dxa"/>
            <w:vMerge w:val="continue"/>
            <w:noWrap w:val="0"/>
            <w:vAlign w:val="center"/>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202" w:type="dxa"/>
            <w:noWrap w:val="0"/>
            <w:vAlign w:val="center"/>
          </w:tcPr>
          <w:p>
            <w:pPr>
              <w:jc w:val="center"/>
              <w:rPr>
                <w:rFonts w:hint="eastAsia"/>
                <w:color w:val="auto"/>
              </w:rPr>
            </w:pPr>
            <w:r>
              <w:rPr>
                <w:rFonts w:hint="eastAsia" w:ascii="宋体" w:cs="宋体"/>
                <w:color w:val="auto"/>
                <w:kern w:val="0"/>
                <w:sz w:val="20"/>
                <w:szCs w:val="20"/>
              </w:rPr>
              <w:t>砖木</w:t>
            </w:r>
          </w:p>
        </w:tc>
        <w:tc>
          <w:tcPr>
            <w:tcW w:w="1659" w:type="dxa"/>
            <w:gridSpan w:val="2"/>
            <w:noWrap w:val="0"/>
            <w:vAlign w:val="center"/>
          </w:tcPr>
          <w:p>
            <w:pPr>
              <w:jc w:val="center"/>
              <w:rPr>
                <w:color w:val="auto"/>
              </w:rPr>
            </w:pPr>
            <w:r>
              <w:rPr>
                <w:rFonts w:hint="eastAsia"/>
                <w:color w:val="auto"/>
              </w:rPr>
              <w:t>400</w:t>
            </w:r>
          </w:p>
        </w:tc>
        <w:tc>
          <w:tcPr>
            <w:tcW w:w="3353" w:type="dxa"/>
            <w:vMerge w:val="restart"/>
            <w:noWrap w:val="0"/>
            <w:vAlign w:val="top"/>
          </w:tcPr>
          <w:p>
            <w:pPr>
              <w:spacing w:line="300" w:lineRule="exact"/>
              <w:rPr>
                <w:rFonts w:hint="eastAsia" w:ascii="宋体" w:cs="宋体"/>
                <w:color w:val="auto"/>
                <w:kern w:val="0"/>
                <w:sz w:val="20"/>
                <w:szCs w:val="20"/>
              </w:rPr>
            </w:pPr>
            <w:r>
              <w:rPr>
                <w:rFonts w:hint="eastAsia" w:ascii="宋体" w:cs="宋体"/>
                <w:color w:val="auto"/>
                <w:kern w:val="0"/>
                <w:sz w:val="20"/>
                <w:szCs w:val="20"/>
              </w:rPr>
              <w:t>1.室内地面（含防潮层）： 防滑地面砖、实木或仿实木地板；2.室内墙面：刮涂、各类木质板材质墙面；3.室内顶面：一级吊顶以上标准；4.厨房、厕所、洗漱间：墙面贴瓷；室内水电、室内壁柜等设施齐全；5.外墙正面</w:t>
            </w:r>
            <w:r>
              <w:rPr>
                <w:rFonts w:hint="eastAsia" w:ascii="宋体" w:cs="宋体"/>
                <w:color w:val="auto"/>
                <w:kern w:val="0"/>
                <w:sz w:val="20"/>
                <w:szCs w:val="20"/>
                <w:lang w:val="zh-CN"/>
              </w:rPr>
              <w:t>和两侧:</w:t>
            </w:r>
            <w:r>
              <w:rPr>
                <w:rFonts w:hint="eastAsia" w:ascii="宋体" w:cs="宋体"/>
                <w:color w:val="auto"/>
                <w:kern w:val="0"/>
                <w:sz w:val="20"/>
                <w:szCs w:val="20"/>
              </w:rPr>
              <w:t>贴面</w:t>
            </w:r>
            <w:r>
              <w:rPr>
                <w:rFonts w:hint="eastAsia" w:ascii="宋体" w:cs="宋体"/>
                <w:color w:val="auto"/>
                <w:kern w:val="0"/>
                <w:sz w:val="20"/>
                <w:szCs w:val="20"/>
                <w:lang w:val="zh-CN"/>
              </w:rPr>
              <w:t>砖,</w:t>
            </w:r>
            <w:r>
              <w:rPr>
                <w:rFonts w:hint="eastAsia" w:ascii="宋体" w:cs="宋体"/>
                <w:color w:val="auto"/>
                <w:kern w:val="0"/>
                <w:sz w:val="20"/>
                <w:szCs w:val="20"/>
              </w:rPr>
              <w:t>其他为干粘石以上标准；6.门、窗、网蓬、门窗套：各类防盗门、各类材质装饰门；塑钢、铝合金玻璃窗；各类金属材质防盗网、雨</w:t>
            </w:r>
            <w:r>
              <w:rPr>
                <w:rFonts w:hint="eastAsia"/>
                <w:color w:val="auto"/>
                <w:kern w:val="0"/>
                <w:sz w:val="20"/>
                <w:szCs w:val="20"/>
              </w:rPr>
              <w:t>篷</w:t>
            </w:r>
            <w:r>
              <w:rPr>
                <w:rFonts w:hint="eastAsia" w:ascii="宋体" w:cs="宋体"/>
                <w:color w:val="auto"/>
                <w:kern w:val="0"/>
                <w:sz w:val="20"/>
                <w:szCs w:val="20"/>
              </w:rPr>
              <w:t>；门窗套为水曲柳或仿榉木板以上标准。</w:t>
            </w:r>
          </w:p>
        </w:tc>
        <w:tc>
          <w:tcPr>
            <w:tcW w:w="3104" w:type="dxa"/>
            <w:vMerge w:val="restart"/>
            <w:noWrap w:val="0"/>
            <w:vAlign w:val="center"/>
          </w:tcPr>
          <w:p>
            <w:pPr>
              <w:spacing w:line="300" w:lineRule="exact"/>
              <w:rPr>
                <w:rFonts w:hint="eastAsia" w:ascii="宋体" w:cs="宋体"/>
                <w:color w:val="auto"/>
                <w:kern w:val="0"/>
                <w:sz w:val="20"/>
                <w:szCs w:val="20"/>
              </w:rPr>
            </w:pPr>
            <w:r>
              <w:rPr>
                <w:rFonts w:hint="eastAsia" w:ascii="宋体" w:cs="宋体"/>
                <w:color w:val="auto"/>
                <w:kern w:val="0"/>
                <w:sz w:val="20"/>
                <w:szCs w:val="20"/>
              </w:rPr>
              <w:t>1.房屋主体部分每缺少一项扣减20元/㎡；2.以上补偿只限合法房屋或经认定后视同为合法房屋装（修）饰的补偿；3.以上补偿按房屋主体建筑面积计算。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2" w:hRule="atLeast"/>
          <w:jc w:val="center"/>
        </w:trPr>
        <w:tc>
          <w:tcPr>
            <w:tcW w:w="1202" w:type="dxa"/>
            <w:noWrap w:val="0"/>
            <w:vAlign w:val="center"/>
          </w:tcPr>
          <w:p>
            <w:pPr>
              <w:jc w:val="center"/>
              <w:rPr>
                <w:color w:val="auto"/>
              </w:rPr>
            </w:pPr>
            <w:r>
              <w:rPr>
                <w:rFonts w:hint="eastAsia" w:ascii="宋体" w:cs="宋体"/>
                <w:color w:val="auto"/>
                <w:kern w:val="0"/>
                <w:sz w:val="20"/>
                <w:szCs w:val="20"/>
              </w:rPr>
              <w:t>砖木偏房</w:t>
            </w:r>
          </w:p>
        </w:tc>
        <w:tc>
          <w:tcPr>
            <w:tcW w:w="1659" w:type="dxa"/>
            <w:gridSpan w:val="2"/>
            <w:noWrap w:val="0"/>
            <w:vAlign w:val="center"/>
          </w:tcPr>
          <w:p>
            <w:pPr>
              <w:jc w:val="center"/>
              <w:rPr>
                <w:color w:val="auto"/>
              </w:rPr>
            </w:pPr>
            <w:r>
              <w:rPr>
                <w:rFonts w:hint="eastAsia"/>
                <w:color w:val="auto"/>
              </w:rPr>
              <w:t>300</w:t>
            </w:r>
          </w:p>
        </w:tc>
        <w:tc>
          <w:tcPr>
            <w:tcW w:w="3353" w:type="dxa"/>
            <w:vMerge w:val="continue"/>
            <w:noWrap w:val="0"/>
            <w:vAlign w:val="top"/>
          </w:tcPr>
          <w:p>
            <w:pPr>
              <w:spacing w:line="300" w:lineRule="exact"/>
              <w:rPr>
                <w:color w:val="auto"/>
              </w:rPr>
            </w:pPr>
          </w:p>
        </w:tc>
        <w:tc>
          <w:tcPr>
            <w:tcW w:w="3104" w:type="dxa"/>
            <w:vMerge w:val="continue"/>
            <w:noWrap w:val="0"/>
            <w:vAlign w:val="top"/>
          </w:tcPr>
          <w:p>
            <w:pPr>
              <w:spacing w:line="3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8" w:hRule="atLeast"/>
          <w:jc w:val="center"/>
        </w:trPr>
        <w:tc>
          <w:tcPr>
            <w:tcW w:w="1202" w:type="dxa"/>
            <w:noWrap w:val="0"/>
            <w:vAlign w:val="center"/>
          </w:tcPr>
          <w:p>
            <w:pPr>
              <w:jc w:val="center"/>
              <w:rPr>
                <w:color w:val="auto"/>
              </w:rPr>
            </w:pPr>
            <w:r>
              <w:rPr>
                <w:rFonts w:hint="eastAsia" w:ascii="宋体" w:cs="宋体"/>
                <w:color w:val="auto"/>
                <w:kern w:val="0"/>
                <w:sz w:val="20"/>
                <w:szCs w:val="20"/>
              </w:rPr>
              <w:t>木结构类</w:t>
            </w:r>
          </w:p>
        </w:tc>
        <w:tc>
          <w:tcPr>
            <w:tcW w:w="1659" w:type="dxa"/>
            <w:gridSpan w:val="2"/>
            <w:noWrap w:val="0"/>
            <w:vAlign w:val="center"/>
          </w:tcPr>
          <w:p>
            <w:pPr>
              <w:jc w:val="center"/>
              <w:rPr>
                <w:color w:val="auto"/>
              </w:rPr>
            </w:pPr>
            <w:r>
              <w:rPr>
                <w:rFonts w:hint="eastAsia"/>
                <w:color w:val="auto"/>
              </w:rPr>
              <w:t>260</w:t>
            </w:r>
          </w:p>
        </w:tc>
        <w:tc>
          <w:tcPr>
            <w:tcW w:w="3353" w:type="dxa"/>
            <w:noWrap w:val="0"/>
            <w:vAlign w:val="top"/>
          </w:tcPr>
          <w:p>
            <w:pPr>
              <w:spacing w:line="300" w:lineRule="exact"/>
              <w:rPr>
                <w:rFonts w:hint="eastAsia" w:ascii="宋体" w:cs="宋体"/>
                <w:color w:val="auto"/>
                <w:kern w:val="0"/>
                <w:sz w:val="20"/>
                <w:szCs w:val="20"/>
              </w:rPr>
            </w:pPr>
            <w:r>
              <w:rPr>
                <w:rFonts w:hint="eastAsia" w:ascii="宋体" w:cs="宋体"/>
                <w:color w:val="auto"/>
                <w:kern w:val="0"/>
                <w:sz w:val="20"/>
                <w:szCs w:val="20"/>
              </w:rPr>
              <w:t>1.室内地面（含防潮层）：防滑地面砖、实木或仿实木地板；2.室内墙面：刮涂、各类木质板材质墙面；3.厨房、厕所、洗漱间：室内水电等设施齐全；4.门、窗、网蓬、门窗套；各类材质装饰门；塑钢玻璃窗；各类金属材质防盗网、雨篷。</w:t>
            </w:r>
          </w:p>
        </w:tc>
        <w:tc>
          <w:tcPr>
            <w:tcW w:w="3104" w:type="dxa"/>
            <w:noWrap w:val="0"/>
            <w:vAlign w:val="center"/>
          </w:tcPr>
          <w:p>
            <w:pPr>
              <w:spacing w:line="300" w:lineRule="exact"/>
              <w:rPr>
                <w:rFonts w:hint="eastAsia" w:ascii="宋体" w:cs="宋体"/>
                <w:color w:val="auto"/>
                <w:kern w:val="0"/>
                <w:sz w:val="20"/>
                <w:szCs w:val="20"/>
              </w:rPr>
            </w:pPr>
            <w:r>
              <w:rPr>
                <w:rFonts w:hint="eastAsia" w:ascii="宋体" w:cs="宋体"/>
                <w:color w:val="auto"/>
                <w:kern w:val="0"/>
                <w:sz w:val="20"/>
                <w:szCs w:val="20"/>
              </w:rPr>
              <w:t>1.房屋主体部分每缺少一项扣减30元/㎡；2.以上补偿只限合法房屋或经认定后视同为合法房屋装（修）饰的补偿；3.以上补偿按房屋主体建筑面积计算。</w:t>
            </w:r>
          </w:p>
        </w:tc>
      </w:tr>
    </w:tbl>
    <w:p>
      <w:pPr>
        <w:rPr>
          <w:color w:val="auto"/>
        </w:rPr>
      </w:pPr>
      <w:r>
        <w:rPr>
          <w:rFonts w:hint="eastAsia"/>
          <w:color w:val="auto"/>
        </w:rPr>
        <w:t>注：本补偿标准不包括本办法附件7里描述的各房屋类别的主要特征。</w:t>
      </w:r>
    </w:p>
    <w:p>
      <w:pPr>
        <w:rPr>
          <w:rFonts w:hint="eastAsia"/>
          <w:color w:val="auto"/>
          <w:sz w:val="24"/>
        </w:rPr>
      </w:pPr>
    </w:p>
    <w:p>
      <w:pPr>
        <w:rPr>
          <w:rFonts w:hint="eastAsia" w:ascii="仿宋" w:hAnsi="仿宋" w:eastAsia="仿宋" w:cs="仿宋"/>
          <w:bCs/>
          <w:color w:val="auto"/>
          <w:sz w:val="32"/>
          <w:szCs w:val="32"/>
        </w:rPr>
      </w:pPr>
      <w:r>
        <w:rPr>
          <w:rFonts w:hint="eastAsia" w:ascii="仿宋" w:hAnsi="仿宋" w:eastAsia="仿宋" w:cs="仿宋"/>
          <w:bCs/>
          <w:color w:val="auto"/>
          <w:sz w:val="32"/>
          <w:szCs w:val="32"/>
        </w:rPr>
        <w:t>附件9</w:t>
      </w:r>
    </w:p>
    <w:p>
      <w:pPr>
        <w:spacing w:line="660" w:lineRule="exact"/>
        <w:jc w:val="center"/>
        <w:rPr>
          <w:rFonts w:hint="eastAsia" w:ascii="黑体" w:hAnsi="黑体" w:eastAsia="黑体" w:cs="黑体"/>
          <w:bCs/>
          <w:color w:val="auto"/>
          <w:sz w:val="44"/>
          <w:szCs w:val="44"/>
        </w:rPr>
      </w:pPr>
      <w:r>
        <w:rPr>
          <w:rFonts w:hint="eastAsia" w:ascii="黑体" w:hAnsi="黑体" w:eastAsia="黑体" w:cs="黑体"/>
          <w:bCs/>
          <w:color w:val="auto"/>
          <w:sz w:val="44"/>
          <w:szCs w:val="44"/>
          <w:lang w:val="en-US" w:eastAsia="zh-CN"/>
        </w:rPr>
        <w:t>新晃县</w:t>
      </w:r>
      <w:r>
        <w:rPr>
          <w:rFonts w:hint="eastAsia" w:ascii="黑体" w:hAnsi="黑体" w:eastAsia="黑体" w:cs="黑体"/>
          <w:bCs/>
          <w:color w:val="auto"/>
          <w:sz w:val="44"/>
          <w:szCs w:val="44"/>
        </w:rPr>
        <w:t>集体土地上生产生活设施和地上建（构）筑物及附着物补偿标准</w:t>
      </w:r>
    </w:p>
    <w:tbl>
      <w:tblPr>
        <w:tblStyle w:val="7"/>
        <w:tblW w:w="979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637"/>
        <w:gridCol w:w="491"/>
        <w:gridCol w:w="1233"/>
        <w:gridCol w:w="856"/>
        <w:gridCol w:w="260"/>
        <w:gridCol w:w="586"/>
        <w:gridCol w:w="331"/>
        <w:gridCol w:w="1054"/>
        <w:gridCol w:w="3984"/>
        <w:gridCol w:w="3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trHeight w:val="499" w:hRule="atLeast"/>
          <w:jc w:val="center"/>
        </w:trPr>
        <w:tc>
          <w:tcPr>
            <w:tcW w:w="112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bCs/>
                <w:color w:val="auto"/>
                <w:kern w:val="0"/>
                <w:szCs w:val="21"/>
              </w:rPr>
            </w:pPr>
            <w:r>
              <w:rPr>
                <w:rFonts w:hint="eastAsia" w:ascii="宋体" w:cs="宋体"/>
                <w:bCs/>
                <w:color w:val="auto"/>
                <w:kern w:val="0"/>
                <w:szCs w:val="21"/>
              </w:rPr>
              <w:t>项目</w:t>
            </w:r>
          </w:p>
        </w:tc>
        <w:tc>
          <w:tcPr>
            <w:tcW w:w="2349"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cs="宋体"/>
                <w:bCs/>
                <w:color w:val="auto"/>
                <w:kern w:val="0"/>
                <w:szCs w:val="21"/>
              </w:rPr>
            </w:pPr>
            <w:r>
              <w:rPr>
                <w:rFonts w:hint="eastAsia" w:ascii="宋体" w:cs="宋体"/>
                <w:bCs/>
                <w:color w:val="auto"/>
                <w:kern w:val="0"/>
                <w:szCs w:val="21"/>
              </w:rPr>
              <w:t>名称</w:t>
            </w:r>
          </w:p>
        </w:tc>
        <w:tc>
          <w:tcPr>
            <w:tcW w:w="917" w:type="dxa"/>
            <w:gridSpan w:val="2"/>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cs="宋体"/>
                <w:bCs/>
                <w:color w:val="auto"/>
                <w:kern w:val="0"/>
                <w:szCs w:val="21"/>
              </w:rPr>
            </w:pPr>
            <w:r>
              <w:rPr>
                <w:rFonts w:hint="eastAsia" w:ascii="宋体" w:cs="宋体"/>
                <w:bCs/>
                <w:color w:val="auto"/>
                <w:kern w:val="0"/>
                <w:szCs w:val="21"/>
              </w:rPr>
              <w:t>单位</w:t>
            </w:r>
          </w:p>
        </w:tc>
        <w:tc>
          <w:tcPr>
            <w:tcW w:w="105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cs="宋体"/>
                <w:bCs/>
                <w:color w:val="auto"/>
                <w:kern w:val="0"/>
                <w:szCs w:val="21"/>
              </w:rPr>
            </w:pPr>
            <w:r>
              <w:rPr>
                <w:rFonts w:hint="eastAsia" w:ascii="宋体" w:cs="宋体"/>
                <w:bCs/>
                <w:color w:val="auto"/>
                <w:kern w:val="0"/>
                <w:szCs w:val="21"/>
              </w:rPr>
              <w:t>补偿金额（元）</w:t>
            </w:r>
          </w:p>
        </w:tc>
        <w:tc>
          <w:tcPr>
            <w:tcW w:w="398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cs="宋体"/>
                <w:bCs/>
                <w:color w:val="auto"/>
                <w:kern w:val="0"/>
                <w:szCs w:val="21"/>
              </w:rPr>
            </w:pPr>
            <w:r>
              <w:rPr>
                <w:rFonts w:hint="eastAsia" w:ascii="宋体" w:cs="宋体"/>
                <w:bCs/>
                <w:color w:val="auto"/>
                <w:kern w:val="0"/>
                <w:szCs w:val="21"/>
              </w:rPr>
              <w:t>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晒坪类</w:t>
            </w: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岩板坪</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平方米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65</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厚度不少于6cm，岩匠过钻，抹平安砌；未达此标准，按水泥坪标准补偿。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水泥坪</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平方米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60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厚度不少于6cm，砖石垫层，水泥抹面。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三合土坪</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平方米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40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厚度不少于6cm，三合灰捣制，表面抹光。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围墙类</w:t>
            </w: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24砖眠墙</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350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包括基础，贴瓷砖的每平方米增加10元。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24砖斗墙</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240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同上。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18砖墙</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200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同上。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13砖附柱墙</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240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同上。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土筑、土砖墙</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150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同上（包括三合灰砌筑墙）。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313" w:hRule="atLeast"/>
          <w:jc w:val="center"/>
        </w:trPr>
        <w:tc>
          <w:tcPr>
            <w:tcW w:w="1128" w:type="dxa"/>
            <w:gridSpan w:val="2"/>
            <w:vMerge w:val="restart"/>
            <w:tcBorders>
              <w:top w:val="nil"/>
              <w:left w:val="single" w:color="auto" w:sz="4" w:space="0"/>
              <w:bottom w:val="single" w:color="000000"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挡土墙护坡保坎类</w:t>
            </w: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岩砌挡土墙护坡</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320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按砌体体积计算。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8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砖、片石干砌挡土墙</w:t>
            </w:r>
          </w:p>
          <w:p>
            <w:pPr>
              <w:spacing w:line="240" w:lineRule="exact"/>
              <w:jc w:val="center"/>
              <w:rPr>
                <w:rFonts w:hint="eastAsia" w:ascii="宋体" w:cs="宋体"/>
                <w:color w:val="auto"/>
                <w:kern w:val="0"/>
                <w:szCs w:val="21"/>
              </w:rPr>
            </w:pPr>
            <w:r>
              <w:rPr>
                <w:rFonts w:hint="eastAsia" w:ascii="宋体" w:cs="宋体"/>
                <w:color w:val="auto"/>
                <w:kern w:val="0"/>
                <w:szCs w:val="21"/>
              </w:rPr>
              <w:t>护坡</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240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同上。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24"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水泥浆砌</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200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空心砖、三合灰</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150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岩石干砌</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180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253" w:hRule="atLeast"/>
          <w:jc w:val="center"/>
        </w:trPr>
        <w:tc>
          <w:tcPr>
            <w:tcW w:w="1128" w:type="dxa"/>
            <w:gridSpan w:val="2"/>
            <w:vMerge w:val="restart"/>
            <w:tcBorders>
              <w:top w:val="nil"/>
              <w:left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道路类</w:t>
            </w:r>
          </w:p>
        </w:tc>
        <w:tc>
          <w:tcPr>
            <w:tcW w:w="2349" w:type="dxa"/>
            <w:gridSpan w:val="3"/>
            <w:vMerge w:val="restart"/>
            <w:tcBorders>
              <w:top w:val="nil"/>
              <w:left w:val="nil"/>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砼道路</w:t>
            </w:r>
          </w:p>
        </w:tc>
        <w:tc>
          <w:tcPr>
            <w:tcW w:w="917" w:type="dxa"/>
            <w:gridSpan w:val="2"/>
            <w:vMerge w:val="restart"/>
            <w:tcBorders>
              <w:top w:val="nil"/>
              <w:left w:val="nil"/>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平方米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60</w:t>
            </w:r>
          </w:p>
        </w:tc>
        <w:tc>
          <w:tcPr>
            <w:tcW w:w="3984" w:type="dxa"/>
            <w:tcBorders>
              <w:top w:val="nil"/>
              <w:left w:val="nil"/>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厚度不少于6cm，水泥抹平。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253" w:hRule="atLeast"/>
          <w:jc w:val="center"/>
        </w:trPr>
        <w:tc>
          <w:tcPr>
            <w:tcW w:w="1128" w:type="dxa"/>
            <w:gridSpan w:val="2"/>
            <w:vMerge w:val="continue"/>
            <w:tcBorders>
              <w:left w:val="single" w:color="auto" w:sz="4" w:space="0"/>
              <w:right w:val="single" w:color="auto" w:sz="4" w:space="0"/>
            </w:tcBorders>
            <w:noWrap w:val="0"/>
            <w:vAlign w:val="center"/>
          </w:tcPr>
          <w:p>
            <w:pPr>
              <w:rPr>
                <w:color w:val="auto"/>
              </w:rPr>
            </w:pPr>
          </w:p>
        </w:tc>
        <w:tc>
          <w:tcPr>
            <w:tcW w:w="2349" w:type="dxa"/>
            <w:gridSpan w:val="3"/>
            <w:vMerge w:val="continue"/>
            <w:tcBorders>
              <w:left w:val="nil"/>
              <w:bottom w:val="single" w:color="auto" w:sz="4" w:space="0"/>
              <w:right w:val="single" w:color="auto" w:sz="4" w:space="0"/>
            </w:tcBorders>
            <w:noWrap w:val="0"/>
            <w:vAlign w:val="center"/>
          </w:tcPr>
          <w:p>
            <w:pPr>
              <w:rPr>
                <w:color w:val="auto"/>
              </w:rPr>
            </w:pPr>
          </w:p>
        </w:tc>
        <w:tc>
          <w:tcPr>
            <w:tcW w:w="917" w:type="dxa"/>
            <w:gridSpan w:val="2"/>
            <w:vMerge w:val="continue"/>
            <w:tcBorders>
              <w:left w:val="nil"/>
              <w:bottom w:val="single" w:color="auto" w:sz="4" w:space="0"/>
              <w:right w:val="single" w:color="auto" w:sz="4" w:space="0"/>
            </w:tcBorders>
            <w:noWrap w:val="0"/>
            <w:vAlign w:val="center"/>
          </w:tcPr>
          <w:p>
            <w:pPr>
              <w:rPr>
                <w:color w:val="auto"/>
              </w:rPr>
            </w:pP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90</w:t>
            </w:r>
          </w:p>
        </w:tc>
        <w:tc>
          <w:tcPr>
            <w:tcW w:w="3984" w:type="dxa"/>
            <w:tcBorders>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厚度达到15 cm以上。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left w:val="single" w:color="auto" w:sz="4" w:space="0"/>
              <w:bottom w:val="single" w:color="auto"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砂卵石、碴、碎石道路（三合土）面</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平方米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表面平整。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trHeight w:val="318" w:hRule="atLeast"/>
          <w:jc w:val="center"/>
        </w:trPr>
        <w:tc>
          <w:tcPr>
            <w:tcW w:w="3477" w:type="dxa"/>
            <w:gridSpan w:val="5"/>
            <w:tcBorders>
              <w:top w:val="single" w:color="auto" w:sz="4" w:space="0"/>
              <w:left w:val="single" w:color="auto" w:sz="4" w:space="0"/>
              <w:bottom w:val="single" w:color="auto" w:sz="4" w:space="0"/>
              <w:right w:val="single" w:color="000000" w:sz="4" w:space="0"/>
            </w:tcBorders>
            <w:noWrap w:val="0"/>
            <w:vAlign w:val="center"/>
          </w:tcPr>
          <w:p>
            <w:pPr>
              <w:spacing w:line="240" w:lineRule="exact"/>
              <w:jc w:val="left"/>
              <w:rPr>
                <w:rFonts w:hint="eastAsia" w:ascii="宋体" w:cs="宋体"/>
                <w:color w:val="auto"/>
                <w:kern w:val="0"/>
                <w:szCs w:val="21"/>
              </w:rPr>
            </w:pPr>
            <w:r>
              <w:rPr>
                <w:rFonts w:hint="eastAsia" w:ascii="宋体" w:cs="宋体"/>
                <w:color w:val="auto"/>
                <w:kern w:val="0"/>
                <w:szCs w:val="21"/>
              </w:rPr>
              <w:t>水管类</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5</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室内的不计算补偿。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restart"/>
            <w:tcBorders>
              <w:top w:val="nil"/>
              <w:left w:val="single" w:color="auto" w:sz="4" w:space="0"/>
              <w:bottom w:val="single" w:color="000000"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电杆线类</w:t>
            </w: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7米以下水泥电杆</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根</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300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拆卸，包括杆上设备。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7米以上水泥电杆</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根</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400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拆卸，包括杆上设备。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木电杆</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根</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100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拆卸。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室外照明线</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30</w:t>
            </w: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包括双线，动力四线的每米增加5元补偿。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0"/>
            <w:vAlign w:val="center"/>
          </w:tcPr>
          <w:p>
            <w:pPr>
              <w:rPr>
                <w:color w:val="auto"/>
              </w:rPr>
            </w:pPr>
          </w:p>
        </w:tc>
        <w:tc>
          <w:tcPr>
            <w:tcW w:w="2349" w:type="dxa"/>
            <w:gridSpan w:val="3"/>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变压器</w:t>
            </w:r>
          </w:p>
        </w:tc>
        <w:tc>
          <w:tcPr>
            <w:tcW w:w="91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个</w:t>
            </w:r>
          </w:p>
        </w:tc>
        <w:tc>
          <w:tcPr>
            <w:tcW w:w="1054"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p>
        </w:tc>
        <w:tc>
          <w:tcPr>
            <w:tcW w:w="3984" w:type="dxa"/>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经电力部门评定用于生产生活的，经评估后给予拆卸、搬运、安装费用。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536"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cs="宋体"/>
                <w:bCs/>
                <w:color w:val="auto"/>
                <w:kern w:val="0"/>
                <w:szCs w:val="21"/>
              </w:rPr>
            </w:pPr>
            <w:r>
              <w:rPr>
                <w:rFonts w:hint="eastAsia" w:ascii="宋体" w:cs="宋体"/>
                <w:bCs/>
                <w:color w:val="auto"/>
                <w:kern w:val="0"/>
                <w:szCs w:val="21"/>
              </w:rPr>
              <w:t>项目</w:t>
            </w:r>
          </w:p>
        </w:tc>
        <w:tc>
          <w:tcPr>
            <w:tcW w:w="172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cs="宋体"/>
                <w:bCs/>
                <w:color w:val="auto"/>
                <w:kern w:val="0"/>
                <w:szCs w:val="21"/>
              </w:rPr>
            </w:pPr>
            <w:r>
              <w:rPr>
                <w:rFonts w:hint="eastAsia" w:ascii="宋体" w:cs="宋体"/>
                <w:bCs/>
                <w:color w:val="auto"/>
                <w:kern w:val="0"/>
                <w:szCs w:val="21"/>
              </w:rPr>
              <w:t>名称</w:t>
            </w:r>
          </w:p>
        </w:tc>
        <w:tc>
          <w:tcPr>
            <w:tcW w:w="856" w:type="dxa"/>
            <w:tcBorders>
              <w:top w:val="single" w:color="auto" w:sz="4" w:space="0"/>
              <w:left w:val="nil"/>
              <w:bottom w:val="single" w:color="auto" w:sz="4" w:space="0"/>
              <w:right w:val="single" w:color="auto" w:sz="4" w:space="0"/>
            </w:tcBorders>
            <w:noWrap w:val="0"/>
            <w:vAlign w:val="center"/>
          </w:tcPr>
          <w:p>
            <w:pPr>
              <w:jc w:val="center"/>
              <w:rPr>
                <w:rFonts w:hint="eastAsia" w:ascii="宋体" w:cs="宋体"/>
                <w:bCs/>
                <w:color w:val="auto"/>
                <w:kern w:val="0"/>
                <w:szCs w:val="21"/>
              </w:rPr>
            </w:pPr>
            <w:r>
              <w:rPr>
                <w:rFonts w:hint="eastAsia" w:ascii="宋体" w:cs="宋体"/>
                <w:bCs/>
                <w:color w:val="auto"/>
                <w:kern w:val="0"/>
                <w:szCs w:val="21"/>
              </w:rPr>
              <w:t>单位</w:t>
            </w:r>
          </w:p>
        </w:tc>
        <w:tc>
          <w:tcPr>
            <w:tcW w:w="84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cs="宋体"/>
                <w:bCs/>
                <w:color w:val="auto"/>
                <w:kern w:val="0"/>
                <w:szCs w:val="21"/>
              </w:rPr>
            </w:pPr>
            <w:r>
              <w:rPr>
                <w:rFonts w:hint="eastAsia" w:ascii="宋体" w:cs="宋体"/>
                <w:bCs/>
                <w:color w:val="auto"/>
                <w:kern w:val="0"/>
                <w:szCs w:val="21"/>
              </w:rPr>
              <w:t>补偿金额（元）</w:t>
            </w:r>
          </w:p>
        </w:tc>
        <w:tc>
          <w:tcPr>
            <w:tcW w:w="5732"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cs="宋体"/>
                <w:bCs/>
                <w:color w:val="auto"/>
                <w:kern w:val="0"/>
                <w:szCs w:val="21"/>
              </w:rPr>
            </w:pPr>
            <w:r>
              <w:rPr>
                <w:rFonts w:hint="eastAsia" w:ascii="宋体" w:cs="宋体"/>
                <w:bCs/>
                <w:color w:val="auto"/>
                <w:kern w:val="0"/>
                <w:szCs w:val="21"/>
              </w:rPr>
              <w:t>说   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30" w:hRule="atLeast"/>
          <w:jc w:val="center"/>
        </w:trPr>
        <w:tc>
          <w:tcPr>
            <w:tcW w:w="637"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水池类</w:t>
            </w: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砖粉生活用水池</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350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砖砌粉水泥生活用水箱，有盖板，内、外贴瓷砖增加30%补偿。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814"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砖粉生产水（粪）池</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320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13cm以上砖砌粉水泥，容积1m</w:t>
            </w:r>
            <w:r>
              <w:rPr>
                <w:rFonts w:hint="eastAsia" w:ascii="宋体" w:cs="宋体"/>
                <w:color w:val="auto"/>
                <w:kern w:val="0"/>
                <w:szCs w:val="21"/>
                <w:vertAlign w:val="superscript"/>
              </w:rPr>
              <w:t>3</w:t>
            </w:r>
            <w:r>
              <w:rPr>
                <w:rFonts w:hint="eastAsia" w:ascii="宋体" w:cs="宋体"/>
                <w:color w:val="auto"/>
                <w:kern w:val="0"/>
                <w:szCs w:val="21"/>
              </w:rPr>
              <w:t>以上；深度超过3m的一律按3m计算补偿；占地面积超过20m</w:t>
            </w:r>
            <w:r>
              <w:rPr>
                <w:rFonts w:hint="eastAsia" w:ascii="宋体" w:cs="宋体"/>
                <w:color w:val="auto"/>
                <w:kern w:val="0"/>
                <w:szCs w:val="21"/>
                <w:vertAlign w:val="superscript"/>
              </w:rPr>
              <w:t>2</w:t>
            </w:r>
            <w:r>
              <w:rPr>
                <w:rFonts w:hint="eastAsia" w:ascii="宋体" w:cs="宋体"/>
                <w:color w:val="auto"/>
                <w:kern w:val="0"/>
                <w:szCs w:val="21"/>
              </w:rPr>
              <w:t>的的按水塘补偿标准计算补偿</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698"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三合灰生产水（粪）池</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立方米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200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13cm以上砖砌粉水泥，容积1m</w:t>
            </w:r>
            <w:r>
              <w:rPr>
                <w:rFonts w:hint="eastAsia" w:ascii="宋体" w:cs="宋体"/>
                <w:color w:val="auto"/>
                <w:kern w:val="0"/>
                <w:szCs w:val="21"/>
                <w:vertAlign w:val="superscript"/>
              </w:rPr>
              <w:t>3</w:t>
            </w:r>
            <w:r>
              <w:rPr>
                <w:rFonts w:hint="eastAsia" w:ascii="宋体" w:cs="宋体"/>
                <w:color w:val="auto"/>
                <w:kern w:val="0"/>
                <w:szCs w:val="21"/>
              </w:rPr>
              <w:t>以上；深度超过3m的一律按3m计算补偿；占地面积超过20m</w:t>
            </w:r>
            <w:r>
              <w:rPr>
                <w:rFonts w:hint="eastAsia" w:ascii="宋体" w:cs="宋体"/>
                <w:color w:val="auto"/>
                <w:kern w:val="0"/>
                <w:szCs w:val="21"/>
                <w:vertAlign w:val="superscript"/>
              </w:rPr>
              <w:t>2</w:t>
            </w:r>
            <w:r>
              <w:rPr>
                <w:rFonts w:hint="eastAsia" w:ascii="宋体" w:cs="宋体"/>
                <w:color w:val="auto"/>
                <w:kern w:val="0"/>
                <w:szCs w:val="21"/>
              </w:rPr>
              <w:t>的按水塘补偿标准计算补偿</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46"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沼气池</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套</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2500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包括管道、气表等</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82" w:hRule="atLeast"/>
          <w:jc w:val="center"/>
        </w:trPr>
        <w:tc>
          <w:tcPr>
            <w:tcW w:w="637"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水井类</w:t>
            </w: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机钻井（摇泵井）</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口</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4000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包括井台及周边水泥地面，抽水设备的拆除工资；废弃的不予补偿</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22"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砖砌、石砌井</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100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包括井台及周边水泥地面；废弃的不予补偿</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350"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土井</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口</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300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包括井台及周边水泥地面；废弃的不予补偿</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58" w:hRule="atLeast"/>
          <w:jc w:val="center"/>
        </w:trPr>
        <w:tc>
          <w:tcPr>
            <w:tcW w:w="637"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排水沟（涵管）类</w:t>
            </w: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砖砌明沟</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80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断面24cm×35cm，断面不同时按比例换算</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46"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三合灰明沟</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50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断面24cm×35cm，断面不同时按比例换算</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70"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砖砌暗沟</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100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含盖板断面24cm×35cm，断面不同时按比例换算</w:t>
            </w:r>
            <w:r>
              <w:rPr>
                <w:rFonts w:hint="eastAsia" w:ascii="宋体" w:cs="宋体"/>
                <w:color w:val="auto"/>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46"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暗砼涵管Ф110mm</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50</w:t>
            </w:r>
          </w:p>
        </w:tc>
        <w:tc>
          <w:tcPr>
            <w:tcW w:w="5732" w:type="dxa"/>
            <w:gridSpan w:val="4"/>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58"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暗砼涵管Ф300mm</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80</w:t>
            </w:r>
          </w:p>
        </w:tc>
        <w:tc>
          <w:tcPr>
            <w:tcW w:w="5732" w:type="dxa"/>
            <w:gridSpan w:val="4"/>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458"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铸铁管Ф100mm</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60</w:t>
            </w:r>
          </w:p>
        </w:tc>
        <w:tc>
          <w:tcPr>
            <w:tcW w:w="5732" w:type="dxa"/>
            <w:gridSpan w:val="4"/>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895" w:hRule="atLeast"/>
          <w:jc w:val="center"/>
        </w:trPr>
        <w:tc>
          <w:tcPr>
            <w:tcW w:w="637"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蔬菜大棚类</w:t>
            </w:r>
          </w:p>
        </w:tc>
        <w:tc>
          <w:tcPr>
            <w:tcW w:w="172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钢架大棚</w:t>
            </w:r>
          </w:p>
        </w:tc>
        <w:tc>
          <w:tcPr>
            <w:tcW w:w="856" w:type="dxa"/>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平方米</w:t>
            </w:r>
          </w:p>
        </w:tc>
        <w:tc>
          <w:tcPr>
            <w:tcW w:w="846"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宋体" w:cs="宋体"/>
                <w:color w:val="auto"/>
                <w:kern w:val="0"/>
                <w:szCs w:val="21"/>
              </w:rPr>
            </w:pPr>
            <w:r>
              <w:rPr>
                <w:rFonts w:hint="eastAsia" w:ascii="宋体" w:cs="宋体"/>
                <w:color w:val="auto"/>
                <w:kern w:val="0"/>
                <w:szCs w:val="21"/>
              </w:rPr>
              <w:t>32</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大棚拱材为热浸锌钢管，钢管外直径为2.5厘米、厚度为0.15厘米；大棚标准配置为同材3排连杆4排卡槽、大棚两头各安装1个门、2个韩式侧卷摇膜器连同材大棚长度的摇膜钢管、拱间距1米、全棚覆盖厚度8丝长寿无滴大棚膜、大棚跨度6米、顶高3米、长度30米以上（含30米）。达不到要求的，按实际工程量计算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895"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水泥大棚</w:t>
            </w:r>
          </w:p>
        </w:tc>
        <w:tc>
          <w:tcPr>
            <w:tcW w:w="856" w:type="dxa"/>
            <w:tcBorders>
              <w:top w:val="nil"/>
              <w:left w:val="nil"/>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平方米</w:t>
            </w:r>
          </w:p>
        </w:tc>
        <w:tc>
          <w:tcPr>
            <w:tcW w:w="846" w:type="dxa"/>
            <w:gridSpan w:val="2"/>
            <w:tcBorders>
              <w:top w:val="nil"/>
              <w:left w:val="nil"/>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 xml:space="preserve">22 </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大棚拱材为水泥预制，3排外直径为2.0厘米的热浸锌钢管连杆，拱间距1.1米，全棚覆盖厚度8丝长寿无滴大棚膜、大棚跨度6米、顶高2.3米，长度30米以上（含30米）。达不到要求的，按实际工程量计算补偿。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895" w:hRule="atLeast"/>
          <w:jc w:val="center"/>
        </w:trPr>
        <w:tc>
          <w:tcPr>
            <w:tcW w:w="637" w:type="dxa"/>
            <w:vMerge w:val="continue"/>
            <w:tcBorders>
              <w:top w:val="nil"/>
              <w:left w:val="single" w:color="auto" w:sz="4" w:space="0"/>
              <w:bottom w:val="single" w:color="auto" w:sz="4" w:space="0"/>
              <w:right w:val="single" w:color="auto" w:sz="4" w:space="0"/>
            </w:tcBorders>
            <w:noWrap w:val="0"/>
            <w:vAlign w:val="center"/>
          </w:tcPr>
          <w:p>
            <w:pPr>
              <w:rPr>
                <w:color w:val="auto"/>
              </w:rPr>
            </w:pPr>
          </w:p>
        </w:tc>
        <w:tc>
          <w:tcPr>
            <w:tcW w:w="1724" w:type="dxa"/>
            <w:gridSpan w:val="2"/>
            <w:tcBorders>
              <w:top w:val="nil"/>
              <w:left w:val="nil"/>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竹架大棚</w:t>
            </w:r>
          </w:p>
        </w:tc>
        <w:tc>
          <w:tcPr>
            <w:tcW w:w="856" w:type="dxa"/>
            <w:tcBorders>
              <w:top w:val="nil"/>
              <w:left w:val="nil"/>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平方米</w:t>
            </w:r>
          </w:p>
        </w:tc>
        <w:tc>
          <w:tcPr>
            <w:tcW w:w="846" w:type="dxa"/>
            <w:gridSpan w:val="2"/>
            <w:tcBorders>
              <w:top w:val="nil"/>
              <w:left w:val="nil"/>
              <w:bottom w:val="single" w:color="auto" w:sz="4" w:space="0"/>
              <w:right w:val="single" w:color="auto" w:sz="4" w:space="0"/>
            </w:tcBorders>
            <w:noWrap w:val="0"/>
            <w:vAlign w:val="center"/>
          </w:tcPr>
          <w:p>
            <w:pPr>
              <w:jc w:val="center"/>
              <w:rPr>
                <w:rFonts w:hint="eastAsia" w:ascii="宋体" w:cs="宋体"/>
                <w:color w:val="auto"/>
                <w:kern w:val="0"/>
                <w:szCs w:val="21"/>
              </w:rPr>
            </w:pPr>
            <w:r>
              <w:rPr>
                <w:rFonts w:hint="eastAsia" w:ascii="宋体" w:cs="宋体"/>
                <w:color w:val="auto"/>
                <w:kern w:val="0"/>
                <w:szCs w:val="21"/>
              </w:rPr>
              <w:t>10</w:t>
            </w:r>
          </w:p>
        </w:tc>
        <w:tc>
          <w:tcPr>
            <w:tcW w:w="5732" w:type="dxa"/>
            <w:gridSpan w:val="4"/>
            <w:tcBorders>
              <w:top w:val="nil"/>
              <w:left w:val="nil"/>
              <w:bottom w:val="single" w:color="auto" w:sz="4" w:space="0"/>
              <w:right w:val="single" w:color="auto" w:sz="4" w:space="0"/>
            </w:tcBorders>
            <w:noWrap w:val="0"/>
            <w:vAlign w:val="center"/>
          </w:tcPr>
          <w:p>
            <w:pPr>
              <w:spacing w:line="240" w:lineRule="exact"/>
              <w:rPr>
                <w:rFonts w:hint="eastAsia" w:ascii="宋体" w:cs="宋体"/>
                <w:color w:val="auto"/>
                <w:kern w:val="0"/>
                <w:szCs w:val="21"/>
              </w:rPr>
            </w:pPr>
            <w:r>
              <w:rPr>
                <w:rFonts w:hint="eastAsia" w:ascii="宋体" w:cs="宋体"/>
                <w:color w:val="auto"/>
                <w:kern w:val="0"/>
                <w:szCs w:val="21"/>
              </w:rPr>
              <w:t>大棚拱材为竹木，全棚覆盖厚度8丝长寿无滴大棚膜、大棚跨度5米、顶高2.2米，长度30米以上（含30米）。达不到要求的，按实际工程量计算补偿</w:t>
            </w:r>
            <w:r>
              <w:rPr>
                <w:rFonts w:hint="eastAsia" w:ascii="宋体" w:cs="宋体"/>
                <w:color w:val="auto"/>
                <w:kern w:val="0"/>
                <w:szCs w:val="21"/>
              </w:rPr>
              <w:t>。</w:t>
            </w:r>
          </w:p>
        </w:tc>
      </w:tr>
    </w:tbl>
    <w:p>
      <w:pPr>
        <w:spacing w:line="280" w:lineRule="exact"/>
        <w:ind w:left="630" w:hanging="630" w:hangingChars="300"/>
        <w:rPr>
          <w:rFonts w:hint="eastAsia" w:ascii="宋体"/>
          <w:color w:val="auto"/>
          <w:szCs w:val="21"/>
        </w:rPr>
      </w:pPr>
      <w:r>
        <w:rPr>
          <w:rFonts w:hint="eastAsia" w:ascii="宋体"/>
          <w:color w:val="auto"/>
          <w:szCs w:val="21"/>
        </w:rPr>
        <w:t>注：1.凡属非固定性生产或生活的设施（包括炉灶、装配式水池、非固定猪槽、活动水泥板谷仓等），均不予补偿。</w:t>
      </w:r>
    </w:p>
    <w:p>
      <w:pPr>
        <w:spacing w:line="280" w:lineRule="exact"/>
        <w:ind w:left="643" w:leftChars="206" w:hanging="210" w:hangingChars="100"/>
        <w:rPr>
          <w:rFonts w:hint="eastAsia" w:ascii="宋体"/>
          <w:color w:val="auto"/>
          <w:szCs w:val="21"/>
        </w:rPr>
      </w:pPr>
      <w:r>
        <w:rPr>
          <w:rFonts w:hint="eastAsia" w:ascii="宋体"/>
          <w:color w:val="auto"/>
          <w:szCs w:val="21"/>
        </w:rPr>
        <w:t>2.房屋四周的屋檐滴水明沟、进屋的踏步、上楼的楼梯均为房屋的必要配套设施，已包括在房屋的补偿单价中，不再按此表另行补偿。</w:t>
      </w:r>
    </w:p>
    <w:p>
      <w:pPr>
        <w:spacing w:line="280" w:lineRule="exact"/>
        <w:ind w:firstLine="405" w:firstLineChars="193"/>
        <w:rPr>
          <w:rFonts w:hint="eastAsia" w:ascii="宋体"/>
          <w:color w:val="auto"/>
          <w:szCs w:val="21"/>
        </w:rPr>
      </w:pPr>
      <w:r>
        <w:rPr>
          <w:rFonts w:hint="eastAsia" w:ascii="宋体"/>
          <w:color w:val="auto"/>
          <w:szCs w:val="21"/>
        </w:rPr>
        <w:t>3.表中未列入项目，原则上视新旧程度，按现行建筑定额直接费的50%—70%予以补偿。</w:t>
      </w:r>
    </w:p>
    <w:p>
      <w:pPr>
        <w:spacing w:line="280" w:lineRule="exact"/>
        <w:ind w:firstLine="405" w:firstLineChars="193"/>
        <w:rPr>
          <w:rFonts w:hint="eastAsia" w:ascii="宋体"/>
          <w:color w:val="auto"/>
          <w:szCs w:val="21"/>
        </w:rPr>
      </w:pPr>
      <w:r>
        <w:rPr>
          <w:rFonts w:hint="eastAsia" w:ascii="宋体"/>
          <w:color w:val="auto"/>
          <w:szCs w:val="21"/>
        </w:rPr>
        <w:t>4.被征土地上废弃不用的生产、生活设施，不予补偿。</w:t>
      </w:r>
    </w:p>
    <w:p>
      <w:pPr>
        <w:spacing w:line="280" w:lineRule="exact"/>
        <w:ind w:firstLine="405" w:firstLineChars="193"/>
        <w:rPr>
          <w:rFonts w:hint="eastAsia"/>
          <w:color w:val="auto"/>
          <w:sz w:val="24"/>
        </w:rPr>
      </w:pPr>
      <w:r>
        <w:rPr>
          <w:rFonts w:hint="eastAsia" w:ascii="宋体"/>
          <w:color w:val="auto"/>
          <w:szCs w:val="21"/>
        </w:rPr>
        <w:t>5.水池、粪池、排水沟达不到灰、浆砌体要求的，均按各单项标准50%扣减</w:t>
      </w:r>
      <w:r>
        <w:rPr>
          <w:rFonts w:hint="eastAsia" w:ascii="宋体"/>
          <w:color w:val="auto"/>
          <w:sz w:val="18"/>
          <w:szCs w:val="18"/>
        </w:rPr>
        <w:t>。</w:t>
      </w:r>
    </w:p>
    <w:p>
      <w:pPr>
        <w:shd w:val="clear" w:color="auto" w:fill="FFFFFF"/>
        <w:spacing w:before="100" w:beforeAutospacing="1" w:line="240" w:lineRule="atLeast"/>
        <w:jc w:val="left"/>
        <w:rPr>
          <w:rFonts w:hint="eastAsia" w:ascii="仿宋" w:hAnsi="仿宋" w:eastAsia="仿宋" w:cs="仿宋"/>
          <w:b/>
          <w:bCs/>
          <w:color w:val="auto"/>
          <w:kern w:val="0"/>
          <w:sz w:val="32"/>
          <w:szCs w:val="32"/>
        </w:rPr>
      </w:pPr>
      <w:r>
        <w:rPr>
          <w:rFonts w:hint="eastAsia" w:ascii="仿宋" w:hAnsi="仿宋" w:eastAsia="仿宋" w:cs="仿宋"/>
          <w:bCs/>
          <w:color w:val="auto"/>
          <w:kern w:val="0"/>
          <w:sz w:val="32"/>
          <w:szCs w:val="32"/>
        </w:rPr>
        <w:t>附件10</w:t>
      </w:r>
    </w:p>
    <w:p>
      <w:pPr>
        <w:shd w:val="clear" w:color="auto" w:fill="FFFFFF"/>
        <w:spacing w:line="660" w:lineRule="exact"/>
        <w:jc w:val="center"/>
        <w:rPr>
          <w:rFonts w:hint="eastAsia" w:ascii="黑体" w:hAnsi="黑体" w:eastAsia="黑体" w:cs="黑体"/>
          <w:bCs/>
          <w:color w:val="auto"/>
          <w:kern w:val="0"/>
          <w:sz w:val="44"/>
          <w:szCs w:val="44"/>
        </w:rPr>
      </w:pPr>
      <w:r>
        <w:rPr>
          <w:rFonts w:hint="eastAsia" w:ascii="黑体" w:hAnsi="黑体" w:eastAsia="黑体" w:cs="黑体"/>
          <w:bCs/>
          <w:color w:val="auto"/>
          <w:kern w:val="0"/>
          <w:sz w:val="44"/>
          <w:szCs w:val="44"/>
          <w:lang w:val="en-US" w:eastAsia="zh-CN"/>
        </w:rPr>
        <w:t>新晃县</w:t>
      </w:r>
      <w:r>
        <w:rPr>
          <w:rFonts w:hint="eastAsia" w:ascii="黑体" w:hAnsi="黑体" w:eastAsia="黑体" w:cs="黑体"/>
          <w:bCs/>
          <w:color w:val="auto"/>
          <w:kern w:val="0"/>
          <w:sz w:val="44"/>
          <w:szCs w:val="44"/>
        </w:rPr>
        <w:t>集体土地上坟墓及附属设施征收</w:t>
      </w:r>
    </w:p>
    <w:p>
      <w:pPr>
        <w:shd w:val="clear" w:color="auto" w:fill="FFFFFF"/>
        <w:spacing w:line="660" w:lineRule="exact"/>
        <w:jc w:val="center"/>
        <w:rPr>
          <w:rFonts w:hint="eastAsia" w:ascii="黑体" w:hAnsi="黑体" w:eastAsia="黑体" w:cs="黑体"/>
          <w:bCs/>
          <w:color w:val="auto"/>
          <w:kern w:val="0"/>
          <w:sz w:val="44"/>
          <w:szCs w:val="44"/>
        </w:rPr>
      </w:pPr>
      <w:r>
        <w:rPr>
          <w:rFonts w:hint="eastAsia" w:ascii="黑体" w:hAnsi="黑体" w:eastAsia="黑体" w:cs="黑体"/>
          <w:bCs/>
          <w:color w:val="auto"/>
          <w:kern w:val="0"/>
          <w:sz w:val="44"/>
          <w:szCs w:val="44"/>
        </w:rPr>
        <w:t>补偿标准</w:t>
      </w:r>
    </w:p>
    <w:tbl>
      <w:tblPr>
        <w:tblStyle w:val="7"/>
        <w:tblW w:w="924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534"/>
        <w:gridCol w:w="1534"/>
        <w:gridCol w:w="1534"/>
        <w:gridCol w:w="1534"/>
        <w:gridCol w:w="1534"/>
        <w:gridCol w:w="15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trHeight w:val="855" w:hRule="atLeast"/>
          <w:jc w:val="center"/>
        </w:trPr>
        <w:tc>
          <w:tcPr>
            <w:tcW w:w="15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项目</w:t>
            </w:r>
          </w:p>
        </w:tc>
        <w:tc>
          <w:tcPr>
            <w:tcW w:w="3068"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类别名称</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单位</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补偿金额（元）（旧）</w:t>
            </w:r>
          </w:p>
        </w:tc>
        <w:tc>
          <w:tcPr>
            <w:tcW w:w="157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仿宋_GB2312" w:eastAsia="仿宋_GB2312" w:cs="宋体"/>
                <w:color w:val="auto"/>
                <w:kern w:val="0"/>
                <w:sz w:val="20"/>
                <w:szCs w:val="20"/>
              </w:rPr>
            </w:pPr>
            <w:r>
              <w:rPr>
                <w:rFonts w:hint="eastAsia" w:ascii="宋体" w:cs="宋体"/>
                <w:color w:val="auto"/>
                <w:kern w:val="0"/>
                <w:szCs w:val="21"/>
              </w:rPr>
              <w:t>补偿金额（元）</w:t>
            </w:r>
          </w:p>
          <w:p>
            <w:pPr>
              <w:spacing w:line="400" w:lineRule="exact"/>
              <w:jc w:val="center"/>
              <w:rPr>
                <w:rFonts w:hint="eastAsia" w:ascii="仿宋_GB2312" w:eastAsia="仿宋_GB2312" w:cs="宋体"/>
                <w:color w:val="auto"/>
                <w:kern w:val="0"/>
                <w:sz w:val="20"/>
                <w:szCs w:val="20"/>
              </w:rPr>
            </w:pPr>
            <w:r>
              <w:rPr>
                <w:rFonts w:hint="eastAsia" w:ascii="仿宋_GB2312" w:eastAsia="仿宋_GB2312" w:cs="宋体"/>
                <w:color w:val="auto"/>
                <w:kern w:val="0"/>
                <w:sz w:val="20"/>
                <w:szCs w:val="20"/>
              </w:rPr>
              <w:t>（新）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698" w:hRule="atLeast"/>
          <w:jc w:val="center"/>
        </w:trPr>
        <w:tc>
          <w:tcPr>
            <w:tcW w:w="1534"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坟墓</w:t>
            </w:r>
          </w:p>
        </w:tc>
        <w:tc>
          <w:tcPr>
            <w:tcW w:w="1534"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土坟</w:t>
            </w:r>
          </w:p>
        </w:tc>
        <w:tc>
          <w:tcPr>
            <w:tcW w:w="1534" w:type="dxa"/>
            <w:tcBorders>
              <w:top w:val="nil"/>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无棺</w:t>
            </w:r>
          </w:p>
        </w:tc>
        <w:tc>
          <w:tcPr>
            <w:tcW w:w="1534"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冢</w:t>
            </w:r>
          </w:p>
        </w:tc>
        <w:tc>
          <w:tcPr>
            <w:tcW w:w="1534" w:type="dxa"/>
            <w:tcBorders>
              <w:top w:val="nil"/>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1000</w:t>
            </w:r>
          </w:p>
        </w:tc>
        <w:tc>
          <w:tcPr>
            <w:tcW w:w="1570"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kern w:val="0"/>
                <w:szCs w:val="21"/>
                <w:highlight w:val="yellow"/>
              </w:rPr>
            </w:pPr>
            <w:r>
              <w:rPr>
                <w:rFonts w:hint="eastAsia" w:ascii="宋体" w:hAnsi="宋体" w:cs="宋体"/>
                <w:color w:val="auto"/>
                <w:kern w:val="0"/>
                <w:szCs w:val="21"/>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23" w:hRule="atLeast"/>
          <w:jc w:val="center"/>
        </w:trPr>
        <w:tc>
          <w:tcPr>
            <w:tcW w:w="1534" w:type="dxa"/>
            <w:vMerge w:val="continue"/>
            <w:tcBorders>
              <w:top w:val="nil"/>
              <w:left w:val="single" w:color="auto" w:sz="4" w:space="0"/>
              <w:bottom w:val="single" w:color="auto" w:sz="4" w:space="0"/>
              <w:right w:val="single" w:color="auto" w:sz="4" w:space="0"/>
            </w:tcBorders>
            <w:noWrap w:val="0"/>
            <w:vAlign w:val="center"/>
          </w:tcPr>
          <w:p>
            <w:pPr>
              <w:spacing w:line="400" w:lineRule="exact"/>
              <w:rPr>
                <w:color w:val="auto"/>
              </w:rPr>
            </w:pPr>
          </w:p>
        </w:tc>
        <w:tc>
          <w:tcPr>
            <w:tcW w:w="1534" w:type="dxa"/>
            <w:vMerge w:val="continue"/>
            <w:tcBorders>
              <w:top w:val="nil"/>
              <w:left w:val="single" w:color="auto" w:sz="4" w:space="0"/>
              <w:bottom w:val="single" w:color="auto" w:sz="4" w:space="0"/>
              <w:right w:val="single" w:color="auto" w:sz="4" w:space="0"/>
            </w:tcBorders>
            <w:noWrap w:val="0"/>
            <w:vAlign w:val="center"/>
          </w:tcPr>
          <w:p>
            <w:pPr>
              <w:spacing w:line="400" w:lineRule="exact"/>
              <w:rPr>
                <w:color w:val="auto"/>
              </w:rPr>
            </w:pPr>
          </w:p>
        </w:tc>
        <w:tc>
          <w:tcPr>
            <w:tcW w:w="1534" w:type="dxa"/>
            <w:tcBorders>
              <w:top w:val="nil"/>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有棺</w:t>
            </w:r>
          </w:p>
        </w:tc>
        <w:tc>
          <w:tcPr>
            <w:tcW w:w="1534" w:type="dxa"/>
            <w:vMerge w:val="continue"/>
            <w:tcBorders>
              <w:top w:val="nil"/>
              <w:left w:val="single" w:color="auto" w:sz="4" w:space="0"/>
              <w:bottom w:val="single" w:color="auto" w:sz="4" w:space="0"/>
              <w:right w:val="single" w:color="auto" w:sz="4" w:space="0"/>
            </w:tcBorders>
            <w:noWrap w:val="0"/>
            <w:vAlign w:val="center"/>
          </w:tcPr>
          <w:p>
            <w:pPr>
              <w:spacing w:line="400" w:lineRule="exact"/>
              <w:rPr>
                <w:color w:val="auto"/>
              </w:rPr>
            </w:pP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4000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auto"/>
                <w:szCs w:val="21"/>
                <w:highlight w:val="yellow"/>
              </w:rPr>
            </w:pPr>
            <w:r>
              <w:rPr>
                <w:rFonts w:hint="eastAsia" w:ascii="宋体" w:hAnsi="宋体"/>
                <w:color w:val="auto"/>
                <w:szCs w:val="21"/>
              </w:rPr>
              <w:t>6000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23" w:hRule="atLeast"/>
          <w:jc w:val="center"/>
        </w:trPr>
        <w:tc>
          <w:tcPr>
            <w:tcW w:w="1534" w:type="dxa"/>
            <w:vMerge w:val="continue"/>
            <w:tcBorders>
              <w:top w:val="nil"/>
              <w:left w:val="single" w:color="auto" w:sz="4" w:space="0"/>
              <w:bottom w:val="single" w:color="auto" w:sz="4" w:space="0"/>
              <w:right w:val="single" w:color="auto" w:sz="4" w:space="0"/>
            </w:tcBorders>
            <w:noWrap w:val="0"/>
            <w:vAlign w:val="center"/>
          </w:tcPr>
          <w:p>
            <w:pPr>
              <w:spacing w:line="400" w:lineRule="exact"/>
              <w:rPr>
                <w:color w:val="auto"/>
              </w:rPr>
            </w:pPr>
          </w:p>
        </w:tc>
        <w:tc>
          <w:tcPr>
            <w:tcW w:w="3068"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砖石坟</w:t>
            </w:r>
          </w:p>
        </w:tc>
        <w:tc>
          <w:tcPr>
            <w:tcW w:w="1534" w:type="dxa"/>
            <w:tcBorders>
              <w:top w:val="nil"/>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冢</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5000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auto"/>
                <w:szCs w:val="21"/>
                <w:highlight w:val="yellow"/>
              </w:rPr>
            </w:pPr>
            <w:r>
              <w:rPr>
                <w:rFonts w:hint="eastAsia" w:ascii="宋体" w:hAnsi="宋体"/>
                <w:color w:val="auto"/>
                <w:szCs w:val="21"/>
              </w:rPr>
              <w:t>7000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23" w:hRule="atLeast"/>
          <w:jc w:val="center"/>
        </w:trPr>
        <w:tc>
          <w:tcPr>
            <w:tcW w:w="1534" w:type="dxa"/>
            <w:vMerge w:val="continue"/>
            <w:tcBorders>
              <w:top w:val="nil"/>
              <w:left w:val="single" w:color="auto" w:sz="4" w:space="0"/>
              <w:bottom w:val="single" w:color="auto" w:sz="4" w:space="0"/>
              <w:right w:val="single" w:color="auto" w:sz="4" w:space="0"/>
            </w:tcBorders>
            <w:noWrap w:val="0"/>
            <w:vAlign w:val="center"/>
          </w:tcPr>
          <w:p>
            <w:pPr>
              <w:spacing w:line="400" w:lineRule="exact"/>
              <w:rPr>
                <w:color w:val="auto"/>
              </w:rPr>
            </w:pPr>
          </w:p>
        </w:tc>
        <w:tc>
          <w:tcPr>
            <w:tcW w:w="3068"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砼坟</w:t>
            </w:r>
          </w:p>
        </w:tc>
        <w:tc>
          <w:tcPr>
            <w:tcW w:w="1534" w:type="dxa"/>
            <w:tcBorders>
              <w:top w:val="nil"/>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冢</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6000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auto"/>
                <w:szCs w:val="21"/>
                <w:highlight w:val="yellow"/>
              </w:rPr>
            </w:pPr>
            <w:r>
              <w:rPr>
                <w:rFonts w:hint="eastAsia" w:ascii="宋体" w:hAnsi="宋体"/>
                <w:color w:val="auto"/>
                <w:szCs w:val="21"/>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23" w:hRule="atLeast"/>
          <w:jc w:val="center"/>
        </w:trPr>
        <w:tc>
          <w:tcPr>
            <w:tcW w:w="1534"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碑</w:t>
            </w:r>
          </w:p>
        </w:tc>
        <w:tc>
          <w:tcPr>
            <w:tcW w:w="3068"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　</w:t>
            </w:r>
          </w:p>
        </w:tc>
        <w:tc>
          <w:tcPr>
            <w:tcW w:w="1534" w:type="dxa"/>
            <w:tcBorders>
              <w:top w:val="nil"/>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座</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600-1000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ascii="宋体" w:hAnsi="宋体"/>
                <w:color w:val="auto"/>
                <w:szCs w:val="21"/>
                <w:highlight w:val="yellow"/>
              </w:rPr>
            </w:pPr>
            <w:r>
              <w:rPr>
                <w:rFonts w:hint="eastAsia" w:ascii="宋体" w:hAnsi="宋体"/>
                <w:color w:val="auto"/>
                <w:szCs w:val="21"/>
              </w:rPr>
              <w:t>600-1000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46" w:hRule="atLeast"/>
          <w:jc w:val="center"/>
        </w:trPr>
        <w:tc>
          <w:tcPr>
            <w:tcW w:w="1534" w:type="dxa"/>
            <w:tcBorders>
              <w:top w:val="nil"/>
              <w:left w:val="single" w:color="auto" w:sz="4" w:space="0"/>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罗围</w:t>
            </w:r>
          </w:p>
        </w:tc>
        <w:tc>
          <w:tcPr>
            <w:tcW w:w="3068"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　</w:t>
            </w:r>
          </w:p>
        </w:tc>
        <w:tc>
          <w:tcPr>
            <w:tcW w:w="1534" w:type="dxa"/>
            <w:tcBorders>
              <w:top w:val="nil"/>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rPr>
              <w:t>圈</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kern w:val="0"/>
                <w:szCs w:val="21"/>
              </w:rPr>
            </w:pPr>
            <w:r>
              <w:rPr>
                <w:rFonts w:hint="eastAsia" w:ascii="宋体" w:hAnsi="宋体" w:cs="宋体"/>
                <w:color w:val="auto"/>
                <w:kern w:val="0"/>
                <w:szCs w:val="21"/>
              </w:rPr>
              <w:t>1200-2000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rPr>
                <w:rFonts w:ascii="宋体" w:hAnsi="宋体"/>
                <w:color w:val="auto"/>
                <w:szCs w:val="21"/>
                <w:highlight w:val="yellow"/>
              </w:rPr>
            </w:pPr>
            <w:r>
              <w:rPr>
                <w:rFonts w:hint="eastAsia" w:ascii="宋体" w:hAnsi="宋体"/>
                <w:color w:val="auto"/>
                <w:szCs w:val="21"/>
              </w:rPr>
              <w:t>1200-2000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46" w:hRule="atLeast"/>
          <w:jc w:val="center"/>
        </w:trPr>
        <w:tc>
          <w:tcPr>
            <w:tcW w:w="153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eastAsia="宋体" w:cs="宋体"/>
                <w:color w:val="auto"/>
                <w:kern w:val="0"/>
                <w:szCs w:val="21"/>
                <w:lang w:val="en-US" w:eastAsia="zh-CN"/>
              </w:rPr>
            </w:pPr>
            <w:r>
              <w:rPr>
                <w:rFonts w:hint="eastAsia" w:ascii="宋体" w:cs="宋体"/>
                <w:color w:val="auto"/>
                <w:kern w:val="0"/>
                <w:szCs w:val="21"/>
                <w:lang w:val="en-US" w:eastAsia="zh-CN"/>
              </w:rPr>
              <w:t>墓地取得补助</w:t>
            </w:r>
          </w:p>
        </w:tc>
        <w:tc>
          <w:tcPr>
            <w:tcW w:w="30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eastAsia="宋体" w:cs="宋体"/>
                <w:color w:val="auto"/>
                <w:kern w:val="0"/>
                <w:szCs w:val="21"/>
                <w:lang w:val="en-US" w:eastAsia="zh-CN"/>
              </w:rPr>
            </w:pPr>
            <w:r>
              <w:rPr>
                <w:rFonts w:hint="eastAsia" w:ascii="宋体" w:cs="宋体"/>
                <w:color w:val="auto"/>
                <w:kern w:val="0"/>
                <w:szCs w:val="21"/>
                <w:lang w:val="en-US" w:eastAsia="zh-CN"/>
              </w:rPr>
              <w:t>城市规划区内</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eastAsia="宋体" w:cs="宋体"/>
                <w:color w:val="auto"/>
                <w:kern w:val="0"/>
                <w:szCs w:val="21"/>
                <w:lang w:val="en-US" w:eastAsia="zh-CN"/>
              </w:rPr>
            </w:pPr>
            <w:r>
              <w:rPr>
                <w:rFonts w:hint="eastAsia" w:ascii="宋体" w:cs="宋体"/>
                <w:color w:val="auto"/>
                <w:kern w:val="0"/>
                <w:szCs w:val="21"/>
                <w:lang w:val="en-US" w:eastAsia="zh-CN"/>
              </w:rPr>
              <w:t>棺</w:t>
            </w:r>
          </w:p>
        </w:tc>
        <w:tc>
          <w:tcPr>
            <w:tcW w:w="3104" w:type="dxa"/>
            <w:gridSpan w:val="2"/>
            <w:tcBorders>
              <w:top w:val="single" w:color="auto" w:sz="4" w:space="0"/>
              <w:left w:val="nil"/>
              <w:bottom w:val="single" w:color="auto" w:sz="4" w:space="0"/>
              <w:right w:val="single" w:color="auto" w:sz="4" w:space="0"/>
            </w:tcBorders>
            <w:noWrap w:val="0"/>
            <w:vAlign w:val="center"/>
          </w:tcPr>
          <w:p>
            <w:pPr>
              <w:spacing w:line="400" w:lineRule="exact"/>
              <w:ind w:firstLine="210" w:firstLineChars="100"/>
              <w:jc w:val="center"/>
              <w:rPr>
                <w:rFonts w:hint="default" w:ascii="宋体" w:hAnsi="宋体" w:eastAsia="宋体"/>
                <w:color w:val="auto"/>
                <w:szCs w:val="21"/>
                <w:lang w:val="en-US" w:eastAsia="zh-CN"/>
              </w:rPr>
            </w:pPr>
            <w:r>
              <w:rPr>
                <w:rFonts w:hint="eastAsia" w:ascii="宋体" w:hAnsi="宋体"/>
                <w:color w:val="auto"/>
                <w:szCs w:val="21"/>
                <w:lang w:val="en-US" w:eastAsia="zh-CN"/>
              </w:rPr>
              <w:t>4000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Ex>
        <w:trPr>
          <w:cantSplit/>
          <w:trHeight w:val="546" w:hRule="atLeast"/>
          <w:jc w:val="center"/>
        </w:trPr>
        <w:tc>
          <w:tcPr>
            <w:tcW w:w="1534"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p>
        </w:tc>
        <w:tc>
          <w:tcPr>
            <w:tcW w:w="30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eastAsia="宋体" w:cs="宋体"/>
                <w:color w:val="auto"/>
                <w:kern w:val="0"/>
                <w:szCs w:val="21"/>
                <w:lang w:val="en-US" w:eastAsia="zh-CN"/>
              </w:rPr>
            </w:pPr>
            <w:r>
              <w:rPr>
                <w:rFonts w:hint="eastAsia" w:ascii="宋体" w:cs="宋体"/>
                <w:color w:val="auto"/>
                <w:kern w:val="0"/>
                <w:szCs w:val="21"/>
                <w:lang w:val="en-US" w:eastAsia="zh-CN"/>
              </w:rPr>
              <w:t>城市规划区外</w:t>
            </w:r>
          </w:p>
        </w:tc>
        <w:tc>
          <w:tcPr>
            <w:tcW w:w="153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cs="宋体"/>
                <w:color w:val="auto"/>
                <w:kern w:val="0"/>
                <w:szCs w:val="21"/>
              </w:rPr>
            </w:pPr>
            <w:r>
              <w:rPr>
                <w:rFonts w:hint="eastAsia" w:ascii="宋体" w:cs="宋体"/>
                <w:color w:val="auto"/>
                <w:kern w:val="0"/>
                <w:szCs w:val="21"/>
                <w:lang w:val="en-US" w:eastAsia="zh-CN"/>
              </w:rPr>
              <w:t>棺</w:t>
            </w:r>
          </w:p>
        </w:tc>
        <w:tc>
          <w:tcPr>
            <w:tcW w:w="3104" w:type="dxa"/>
            <w:gridSpan w:val="2"/>
            <w:tcBorders>
              <w:top w:val="single" w:color="auto" w:sz="4" w:space="0"/>
              <w:left w:val="nil"/>
              <w:bottom w:val="single" w:color="auto" w:sz="4" w:space="0"/>
              <w:right w:val="single" w:color="auto" w:sz="4" w:space="0"/>
            </w:tcBorders>
            <w:noWrap w:val="0"/>
            <w:vAlign w:val="center"/>
          </w:tcPr>
          <w:p>
            <w:pPr>
              <w:spacing w:line="400" w:lineRule="exact"/>
              <w:ind w:firstLine="210" w:firstLineChars="100"/>
              <w:jc w:val="center"/>
              <w:rPr>
                <w:rFonts w:hint="default" w:ascii="宋体" w:hAnsi="宋体" w:eastAsia="宋体"/>
                <w:color w:val="auto"/>
                <w:szCs w:val="21"/>
                <w:lang w:val="en-US" w:eastAsia="zh-CN"/>
              </w:rPr>
            </w:pPr>
            <w:r>
              <w:rPr>
                <w:rFonts w:hint="eastAsia" w:ascii="宋体" w:hAnsi="宋体"/>
                <w:color w:val="auto"/>
                <w:szCs w:val="21"/>
                <w:lang w:val="en-US" w:eastAsia="zh-CN"/>
              </w:rPr>
              <w:t>3000</w:t>
            </w:r>
          </w:p>
        </w:tc>
      </w:tr>
    </w:tbl>
    <w:p>
      <w:pPr>
        <w:rPr>
          <w:rFonts w:hint="eastAsia"/>
          <w:color w:val="auto"/>
          <w:szCs w:val="21"/>
        </w:rPr>
      </w:pPr>
    </w:p>
    <w:p>
      <w:pPr>
        <w:rPr>
          <w:rFonts w:hint="eastAsia"/>
          <w:color w:val="auto"/>
          <w:szCs w:val="21"/>
        </w:rPr>
      </w:pPr>
      <w:r>
        <w:rPr>
          <w:rFonts w:hint="eastAsia"/>
          <w:color w:val="auto"/>
          <w:szCs w:val="21"/>
        </w:rPr>
        <w:t>注：1.有碑或修建罗围的按以上标准补偿;没有碑或修建罗围的，不得给予碑和罗围补偿。</w:t>
      </w:r>
    </w:p>
    <w:p>
      <w:pPr>
        <w:ind w:firstLine="420" w:firstLineChars="200"/>
        <w:rPr>
          <w:color w:val="auto"/>
          <w:szCs w:val="21"/>
        </w:rPr>
      </w:pPr>
      <w:r>
        <w:rPr>
          <w:rFonts w:hint="eastAsia"/>
          <w:color w:val="auto"/>
          <w:szCs w:val="21"/>
        </w:rPr>
        <w:t>2.坟墓补偿以实际挖掘为依据，伪造的坟墓不补偿。</w:t>
      </w:r>
    </w:p>
    <w:p>
      <w:pPr>
        <w:ind w:firstLine="420" w:firstLineChars="200"/>
        <w:rPr>
          <w:rFonts w:hint="eastAsia"/>
          <w:color w:val="auto"/>
          <w:szCs w:val="21"/>
        </w:rPr>
      </w:pPr>
      <w:r>
        <w:rPr>
          <w:rFonts w:hint="eastAsia"/>
          <w:color w:val="auto"/>
          <w:szCs w:val="21"/>
        </w:rPr>
        <w:t>3.无坟主的由征收单位代迁或作深埋处理。</w:t>
      </w:r>
    </w:p>
    <w:p>
      <w:pPr>
        <w:ind w:firstLine="420" w:firstLineChars="200"/>
        <w:rPr>
          <w:color w:val="auto"/>
          <w:szCs w:val="21"/>
        </w:rPr>
      </w:pPr>
      <w:r>
        <w:rPr>
          <w:rFonts w:hint="eastAsia"/>
          <w:color w:val="auto"/>
          <w:szCs w:val="21"/>
        </w:rPr>
        <w:t>4.征收土地预公告发布之日起前5年内按新坟计，其余年限的坟墓按旧坟计。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snapToGrid/>
        <w:spacing w:before="0" w:beforeAutospacing="0" w:after="0" w:afterAutospacing="0" w:line="600" w:lineRule="exact"/>
        <w:ind w:left="0" w:right="0" w:firstLine="640" w:firstLineChars="200"/>
        <w:contextualSpacing w:val="0"/>
        <w:textAlignment w:val="auto"/>
        <w:outlineLvl w:val="9"/>
        <w:rPr>
          <w:rFonts w:hint="default" w:ascii="Times New Roman" w:hAnsi="Times New Roman" w:eastAsia="仿宋_GB2312" w:cs="Times New Roman"/>
          <w:bCs/>
          <w:snapToGrid/>
          <w:color w:val="auto"/>
          <w:spacing w:val="0"/>
          <w:w w:val="100"/>
          <w:kern w:val="0"/>
          <w:position w:val="0"/>
          <w:sz w:val="32"/>
          <w:szCs w:val="32"/>
          <w:u w:val="none"/>
          <w:shd w:val="clear"/>
          <w:vertAlign w:val="baseline"/>
          <w:lang w:val="en-US" w:eastAsia="zh-CN" w:bidi="ar-SA"/>
        </w:rPr>
      </w:pPr>
    </w:p>
    <w:sectPr>
      <w:footerReference r:id="rId3" w:type="default"/>
      <w:pgSz w:w="11906" w:h="16838"/>
      <w:pgMar w:top="1871" w:right="1474" w:bottom="1701" w:left="1587"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SimSun">
    <w:altName w:val="微软雅黑"/>
    <w:panose1 w:val="00000000000000000000"/>
    <w:charset w:val="00"/>
    <w:family w:val="auto"/>
    <w:pitch w:val="default"/>
    <w:sig w:usb0="00000000" w:usb1="00000000" w:usb2="00000000"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YzdjNzFmOGE5OTRmOGY2Nzc3ZWEwNWZlMzgzMDAifQ=="/>
    <w:docVar w:name="KSO_WPS_MARK_KEY" w:val="039ad43e-a34f-4f13-9c7a-062e868ef5f8"/>
  </w:docVars>
  <w:rsids>
    <w:rsidRoot w:val="47B701B5"/>
    <w:rsid w:val="00E131FF"/>
    <w:rsid w:val="00E22410"/>
    <w:rsid w:val="00F46D30"/>
    <w:rsid w:val="01396E1E"/>
    <w:rsid w:val="01964A15"/>
    <w:rsid w:val="01C65EE2"/>
    <w:rsid w:val="0213047A"/>
    <w:rsid w:val="02173607"/>
    <w:rsid w:val="022618D2"/>
    <w:rsid w:val="023561A3"/>
    <w:rsid w:val="023B3DA9"/>
    <w:rsid w:val="02430D59"/>
    <w:rsid w:val="03FE7EF6"/>
    <w:rsid w:val="04D31E3C"/>
    <w:rsid w:val="057951B2"/>
    <w:rsid w:val="057B0AB5"/>
    <w:rsid w:val="05856642"/>
    <w:rsid w:val="059C797B"/>
    <w:rsid w:val="05B5690E"/>
    <w:rsid w:val="067172C5"/>
    <w:rsid w:val="06B86896"/>
    <w:rsid w:val="06D03D80"/>
    <w:rsid w:val="06D1089C"/>
    <w:rsid w:val="087174E9"/>
    <w:rsid w:val="08796C99"/>
    <w:rsid w:val="08D52414"/>
    <w:rsid w:val="08F17FDE"/>
    <w:rsid w:val="09273A00"/>
    <w:rsid w:val="09487638"/>
    <w:rsid w:val="094A0E0E"/>
    <w:rsid w:val="09567745"/>
    <w:rsid w:val="09E0749F"/>
    <w:rsid w:val="09F53641"/>
    <w:rsid w:val="0A464DB1"/>
    <w:rsid w:val="0ADB2670"/>
    <w:rsid w:val="0AE34065"/>
    <w:rsid w:val="0BA272DE"/>
    <w:rsid w:val="0BA711CD"/>
    <w:rsid w:val="0C0F1F5B"/>
    <w:rsid w:val="0C585A5E"/>
    <w:rsid w:val="0C8C1522"/>
    <w:rsid w:val="0C8E7B09"/>
    <w:rsid w:val="0CE82B67"/>
    <w:rsid w:val="0D064AFD"/>
    <w:rsid w:val="0D572141"/>
    <w:rsid w:val="0DC43F13"/>
    <w:rsid w:val="0DC967F6"/>
    <w:rsid w:val="0DE41365"/>
    <w:rsid w:val="0DFB75C9"/>
    <w:rsid w:val="0E9A6D0A"/>
    <w:rsid w:val="0EF52057"/>
    <w:rsid w:val="0F236D3B"/>
    <w:rsid w:val="0F310394"/>
    <w:rsid w:val="0F837982"/>
    <w:rsid w:val="0F8A522D"/>
    <w:rsid w:val="0FDE128A"/>
    <w:rsid w:val="102A35B2"/>
    <w:rsid w:val="106446DE"/>
    <w:rsid w:val="10761B8D"/>
    <w:rsid w:val="10C15327"/>
    <w:rsid w:val="119E0B57"/>
    <w:rsid w:val="11C27206"/>
    <w:rsid w:val="11E465AF"/>
    <w:rsid w:val="132F2933"/>
    <w:rsid w:val="134A310C"/>
    <w:rsid w:val="135F3C4B"/>
    <w:rsid w:val="13623FB2"/>
    <w:rsid w:val="13B3194D"/>
    <w:rsid w:val="13C92283"/>
    <w:rsid w:val="14186D67"/>
    <w:rsid w:val="14666B7F"/>
    <w:rsid w:val="148F6D64"/>
    <w:rsid w:val="14E0079E"/>
    <w:rsid w:val="156244EC"/>
    <w:rsid w:val="159D39C7"/>
    <w:rsid w:val="15E622AE"/>
    <w:rsid w:val="165C0F09"/>
    <w:rsid w:val="167C182F"/>
    <w:rsid w:val="16A00A28"/>
    <w:rsid w:val="16A41E8A"/>
    <w:rsid w:val="179473B9"/>
    <w:rsid w:val="179A753F"/>
    <w:rsid w:val="17C0399D"/>
    <w:rsid w:val="185B5474"/>
    <w:rsid w:val="18626802"/>
    <w:rsid w:val="187F5606"/>
    <w:rsid w:val="19234009"/>
    <w:rsid w:val="19554C44"/>
    <w:rsid w:val="19703800"/>
    <w:rsid w:val="1AC27A2C"/>
    <w:rsid w:val="1AE856E5"/>
    <w:rsid w:val="1B372236"/>
    <w:rsid w:val="1B3A7DF5"/>
    <w:rsid w:val="1B4504E9"/>
    <w:rsid w:val="1B9E0FA0"/>
    <w:rsid w:val="1BF70EDB"/>
    <w:rsid w:val="1C006A5E"/>
    <w:rsid w:val="1C2870AF"/>
    <w:rsid w:val="1C776296"/>
    <w:rsid w:val="1D0C2F6A"/>
    <w:rsid w:val="1D535621"/>
    <w:rsid w:val="1D9229C6"/>
    <w:rsid w:val="1DDB0B9B"/>
    <w:rsid w:val="1DE5480D"/>
    <w:rsid w:val="1E050840"/>
    <w:rsid w:val="1E085DF7"/>
    <w:rsid w:val="1E711139"/>
    <w:rsid w:val="1E79311B"/>
    <w:rsid w:val="1E7C1B7E"/>
    <w:rsid w:val="1E9B732C"/>
    <w:rsid w:val="1F026649"/>
    <w:rsid w:val="1F376970"/>
    <w:rsid w:val="1FA76796"/>
    <w:rsid w:val="1FA95170"/>
    <w:rsid w:val="1FD00E7A"/>
    <w:rsid w:val="207F5516"/>
    <w:rsid w:val="20FE3805"/>
    <w:rsid w:val="2133567F"/>
    <w:rsid w:val="21374679"/>
    <w:rsid w:val="2146525D"/>
    <w:rsid w:val="21A60BF8"/>
    <w:rsid w:val="21F42BC1"/>
    <w:rsid w:val="22133E1E"/>
    <w:rsid w:val="221C3EC6"/>
    <w:rsid w:val="22B128F4"/>
    <w:rsid w:val="22C135D2"/>
    <w:rsid w:val="22DE117B"/>
    <w:rsid w:val="23377209"/>
    <w:rsid w:val="234B49EE"/>
    <w:rsid w:val="23566E70"/>
    <w:rsid w:val="236B46FD"/>
    <w:rsid w:val="23C75CB0"/>
    <w:rsid w:val="24AF0CC4"/>
    <w:rsid w:val="24B26561"/>
    <w:rsid w:val="25D41F0B"/>
    <w:rsid w:val="260F2FF0"/>
    <w:rsid w:val="26EF7DFB"/>
    <w:rsid w:val="275E1FC8"/>
    <w:rsid w:val="27CB7F20"/>
    <w:rsid w:val="28033B5E"/>
    <w:rsid w:val="28431410"/>
    <w:rsid w:val="28A26B20"/>
    <w:rsid w:val="28AD5BAF"/>
    <w:rsid w:val="28B97A1D"/>
    <w:rsid w:val="28E8139F"/>
    <w:rsid w:val="29222471"/>
    <w:rsid w:val="29291D34"/>
    <w:rsid w:val="294B479C"/>
    <w:rsid w:val="29642175"/>
    <w:rsid w:val="296F2DDD"/>
    <w:rsid w:val="29A70F8B"/>
    <w:rsid w:val="29F11140"/>
    <w:rsid w:val="2A6D3510"/>
    <w:rsid w:val="2AAA00A0"/>
    <w:rsid w:val="2AD05060"/>
    <w:rsid w:val="2B237433"/>
    <w:rsid w:val="2BF87691"/>
    <w:rsid w:val="2BFD6B16"/>
    <w:rsid w:val="2C3047F6"/>
    <w:rsid w:val="2C646BB5"/>
    <w:rsid w:val="2C9A1D94"/>
    <w:rsid w:val="2CAE1BBE"/>
    <w:rsid w:val="2CD93A37"/>
    <w:rsid w:val="2DA42835"/>
    <w:rsid w:val="2DEC5CBE"/>
    <w:rsid w:val="2DFD6792"/>
    <w:rsid w:val="2E910163"/>
    <w:rsid w:val="2F106B60"/>
    <w:rsid w:val="2F407AD7"/>
    <w:rsid w:val="2FE62AFD"/>
    <w:rsid w:val="2FF77A64"/>
    <w:rsid w:val="302F2452"/>
    <w:rsid w:val="3049232A"/>
    <w:rsid w:val="30896F53"/>
    <w:rsid w:val="309C25FE"/>
    <w:rsid w:val="30A0320D"/>
    <w:rsid w:val="30E71ED7"/>
    <w:rsid w:val="3114773B"/>
    <w:rsid w:val="32256487"/>
    <w:rsid w:val="32311998"/>
    <w:rsid w:val="323373E3"/>
    <w:rsid w:val="3245745F"/>
    <w:rsid w:val="325D3E6B"/>
    <w:rsid w:val="33521FBC"/>
    <w:rsid w:val="336640C7"/>
    <w:rsid w:val="33A71FBA"/>
    <w:rsid w:val="33B6046C"/>
    <w:rsid w:val="33CC0B81"/>
    <w:rsid w:val="34D76FBE"/>
    <w:rsid w:val="35436F4D"/>
    <w:rsid w:val="3576787D"/>
    <w:rsid w:val="3593136C"/>
    <w:rsid w:val="35C7548F"/>
    <w:rsid w:val="35CF5C4B"/>
    <w:rsid w:val="35EB79DF"/>
    <w:rsid w:val="367936F0"/>
    <w:rsid w:val="3681649D"/>
    <w:rsid w:val="36D45784"/>
    <w:rsid w:val="375D55C0"/>
    <w:rsid w:val="379540A7"/>
    <w:rsid w:val="37C5760F"/>
    <w:rsid w:val="37FA104F"/>
    <w:rsid w:val="381979D3"/>
    <w:rsid w:val="382473AE"/>
    <w:rsid w:val="38284F1B"/>
    <w:rsid w:val="383A6210"/>
    <w:rsid w:val="386A0431"/>
    <w:rsid w:val="39395132"/>
    <w:rsid w:val="393A1311"/>
    <w:rsid w:val="39967A4C"/>
    <w:rsid w:val="3A15327D"/>
    <w:rsid w:val="3A2D288C"/>
    <w:rsid w:val="3A6B123E"/>
    <w:rsid w:val="3A8F45BA"/>
    <w:rsid w:val="3ACC7ED7"/>
    <w:rsid w:val="3B051751"/>
    <w:rsid w:val="3B891A55"/>
    <w:rsid w:val="3BB513F5"/>
    <w:rsid w:val="3C303222"/>
    <w:rsid w:val="3C502A85"/>
    <w:rsid w:val="3C7104A8"/>
    <w:rsid w:val="3C9C727E"/>
    <w:rsid w:val="3D080224"/>
    <w:rsid w:val="3D306214"/>
    <w:rsid w:val="3D517DD2"/>
    <w:rsid w:val="3D5A69E4"/>
    <w:rsid w:val="3D700757"/>
    <w:rsid w:val="3DE720CC"/>
    <w:rsid w:val="3E1A5026"/>
    <w:rsid w:val="3EB3242B"/>
    <w:rsid w:val="3ED41958"/>
    <w:rsid w:val="3EE54CA3"/>
    <w:rsid w:val="3EF47905"/>
    <w:rsid w:val="3F382941"/>
    <w:rsid w:val="40C247CD"/>
    <w:rsid w:val="40C92F6A"/>
    <w:rsid w:val="40CC1EAF"/>
    <w:rsid w:val="431879DA"/>
    <w:rsid w:val="436F6E9D"/>
    <w:rsid w:val="43CA280D"/>
    <w:rsid w:val="44540C9E"/>
    <w:rsid w:val="44AA574B"/>
    <w:rsid w:val="44CD0751"/>
    <w:rsid w:val="44DE5692"/>
    <w:rsid w:val="45166930"/>
    <w:rsid w:val="457B00D4"/>
    <w:rsid w:val="459A4D4A"/>
    <w:rsid w:val="45E43B02"/>
    <w:rsid w:val="45EE69F8"/>
    <w:rsid w:val="461E1C9E"/>
    <w:rsid w:val="4670795C"/>
    <w:rsid w:val="46B95E87"/>
    <w:rsid w:val="46D27167"/>
    <w:rsid w:val="46EE0AE5"/>
    <w:rsid w:val="471605EF"/>
    <w:rsid w:val="471C0617"/>
    <w:rsid w:val="4755337E"/>
    <w:rsid w:val="477E0A07"/>
    <w:rsid w:val="478B5F54"/>
    <w:rsid w:val="47A13F05"/>
    <w:rsid w:val="47A7408B"/>
    <w:rsid w:val="47B701B5"/>
    <w:rsid w:val="47F14840"/>
    <w:rsid w:val="480C5CBF"/>
    <w:rsid w:val="48490047"/>
    <w:rsid w:val="486A2997"/>
    <w:rsid w:val="48AC451C"/>
    <w:rsid w:val="48B42A35"/>
    <w:rsid w:val="48D3676C"/>
    <w:rsid w:val="499B5CA9"/>
    <w:rsid w:val="4A125BF4"/>
    <w:rsid w:val="4A2F038B"/>
    <w:rsid w:val="4A3F79D1"/>
    <w:rsid w:val="4A6B7768"/>
    <w:rsid w:val="4AC75F50"/>
    <w:rsid w:val="4BAE7058"/>
    <w:rsid w:val="4BDC009E"/>
    <w:rsid w:val="4BE616E3"/>
    <w:rsid w:val="4C68258E"/>
    <w:rsid w:val="4C7A3596"/>
    <w:rsid w:val="4C98012B"/>
    <w:rsid w:val="4CB1386B"/>
    <w:rsid w:val="4CE5348F"/>
    <w:rsid w:val="4D1C38C8"/>
    <w:rsid w:val="4D2808AE"/>
    <w:rsid w:val="4DDF13D3"/>
    <w:rsid w:val="4E014E21"/>
    <w:rsid w:val="4E577EB0"/>
    <w:rsid w:val="4F0E7BE8"/>
    <w:rsid w:val="4F104997"/>
    <w:rsid w:val="4F7C5A76"/>
    <w:rsid w:val="4F853087"/>
    <w:rsid w:val="50722E01"/>
    <w:rsid w:val="519253DB"/>
    <w:rsid w:val="52A44127"/>
    <w:rsid w:val="53870676"/>
    <w:rsid w:val="542C0338"/>
    <w:rsid w:val="54697358"/>
    <w:rsid w:val="54867594"/>
    <w:rsid w:val="551B16FB"/>
    <w:rsid w:val="55422E03"/>
    <w:rsid w:val="554A4C47"/>
    <w:rsid w:val="556D4612"/>
    <w:rsid w:val="55C32202"/>
    <w:rsid w:val="56306A8D"/>
    <w:rsid w:val="573E4BAB"/>
    <w:rsid w:val="575D4266"/>
    <w:rsid w:val="57A00354"/>
    <w:rsid w:val="58013C6C"/>
    <w:rsid w:val="58020E8D"/>
    <w:rsid w:val="58390851"/>
    <w:rsid w:val="584335DA"/>
    <w:rsid w:val="589133FE"/>
    <w:rsid w:val="592C54D8"/>
    <w:rsid w:val="59366498"/>
    <w:rsid w:val="59883613"/>
    <w:rsid w:val="598B5C9E"/>
    <w:rsid w:val="59CA7788"/>
    <w:rsid w:val="5A0802B0"/>
    <w:rsid w:val="5A094EF8"/>
    <w:rsid w:val="5A8E3F86"/>
    <w:rsid w:val="5AAB1C57"/>
    <w:rsid w:val="5B4E4733"/>
    <w:rsid w:val="5BF02142"/>
    <w:rsid w:val="5C3F4133"/>
    <w:rsid w:val="5C753851"/>
    <w:rsid w:val="5CAC6BB1"/>
    <w:rsid w:val="5CD5580C"/>
    <w:rsid w:val="5D156358"/>
    <w:rsid w:val="5D34543A"/>
    <w:rsid w:val="5D5A1426"/>
    <w:rsid w:val="5DC40154"/>
    <w:rsid w:val="5DD757BC"/>
    <w:rsid w:val="5E48672A"/>
    <w:rsid w:val="5F1D424A"/>
    <w:rsid w:val="5FEB0458"/>
    <w:rsid w:val="60E60217"/>
    <w:rsid w:val="612D6AC7"/>
    <w:rsid w:val="61BF166B"/>
    <w:rsid w:val="620579DE"/>
    <w:rsid w:val="628C0D37"/>
    <w:rsid w:val="628C42C2"/>
    <w:rsid w:val="62EA63D1"/>
    <w:rsid w:val="630D45B6"/>
    <w:rsid w:val="63C40119"/>
    <w:rsid w:val="642323F6"/>
    <w:rsid w:val="64550E83"/>
    <w:rsid w:val="6488198E"/>
    <w:rsid w:val="64A22060"/>
    <w:rsid w:val="64BA52EB"/>
    <w:rsid w:val="64C5571C"/>
    <w:rsid w:val="650D44D2"/>
    <w:rsid w:val="65BB267B"/>
    <w:rsid w:val="65E41BD5"/>
    <w:rsid w:val="65F35397"/>
    <w:rsid w:val="66342555"/>
    <w:rsid w:val="67080B5E"/>
    <w:rsid w:val="674A6092"/>
    <w:rsid w:val="675445CD"/>
    <w:rsid w:val="679C0B0A"/>
    <w:rsid w:val="67F3434E"/>
    <w:rsid w:val="680447AD"/>
    <w:rsid w:val="68263CE8"/>
    <w:rsid w:val="686F0EA4"/>
    <w:rsid w:val="68B97345"/>
    <w:rsid w:val="69643755"/>
    <w:rsid w:val="69A7382C"/>
    <w:rsid w:val="69AC1A8A"/>
    <w:rsid w:val="69D6178F"/>
    <w:rsid w:val="6A410583"/>
    <w:rsid w:val="6A5D11AD"/>
    <w:rsid w:val="6A9C579F"/>
    <w:rsid w:val="6AA70AAC"/>
    <w:rsid w:val="6B13483C"/>
    <w:rsid w:val="6B880F07"/>
    <w:rsid w:val="6BB77EA9"/>
    <w:rsid w:val="6BBB55B4"/>
    <w:rsid w:val="6BD13315"/>
    <w:rsid w:val="6BE279F7"/>
    <w:rsid w:val="6BF30DC0"/>
    <w:rsid w:val="6C2E004A"/>
    <w:rsid w:val="6CB52DA9"/>
    <w:rsid w:val="6CF26E83"/>
    <w:rsid w:val="6D147716"/>
    <w:rsid w:val="6D673814"/>
    <w:rsid w:val="6E5F098F"/>
    <w:rsid w:val="6E9E24DB"/>
    <w:rsid w:val="6FEA1A04"/>
    <w:rsid w:val="700F1D6B"/>
    <w:rsid w:val="701C60BF"/>
    <w:rsid w:val="70293003"/>
    <w:rsid w:val="70352DB4"/>
    <w:rsid w:val="70960D72"/>
    <w:rsid w:val="70C94E02"/>
    <w:rsid w:val="71557E27"/>
    <w:rsid w:val="72505258"/>
    <w:rsid w:val="72B15531"/>
    <w:rsid w:val="72B80044"/>
    <w:rsid w:val="72C00BB0"/>
    <w:rsid w:val="72E43211"/>
    <w:rsid w:val="73CA0F4C"/>
    <w:rsid w:val="748F6E49"/>
    <w:rsid w:val="74A22F74"/>
    <w:rsid w:val="7622171F"/>
    <w:rsid w:val="7689268E"/>
    <w:rsid w:val="768A799B"/>
    <w:rsid w:val="770640CE"/>
    <w:rsid w:val="772A0A5E"/>
    <w:rsid w:val="77381F18"/>
    <w:rsid w:val="77AE0291"/>
    <w:rsid w:val="77F325BE"/>
    <w:rsid w:val="78294AAE"/>
    <w:rsid w:val="786916FF"/>
    <w:rsid w:val="78794CE3"/>
    <w:rsid w:val="78BF05B7"/>
    <w:rsid w:val="78E4686E"/>
    <w:rsid w:val="78F46178"/>
    <w:rsid w:val="79507595"/>
    <w:rsid w:val="79C81EE0"/>
    <w:rsid w:val="7A12554D"/>
    <w:rsid w:val="7A546ECE"/>
    <w:rsid w:val="7A6538E7"/>
    <w:rsid w:val="7B346EFF"/>
    <w:rsid w:val="7B4131B1"/>
    <w:rsid w:val="7B51340D"/>
    <w:rsid w:val="7B9451F8"/>
    <w:rsid w:val="7BB662BD"/>
    <w:rsid w:val="7C7310B7"/>
    <w:rsid w:val="7C837CDA"/>
    <w:rsid w:val="7CA266A3"/>
    <w:rsid w:val="7CB41EA6"/>
    <w:rsid w:val="7D880727"/>
    <w:rsid w:val="7DA641A7"/>
    <w:rsid w:val="7DD77265"/>
    <w:rsid w:val="7DDA357B"/>
    <w:rsid w:val="7E2B3AB7"/>
    <w:rsid w:val="7E584AB3"/>
    <w:rsid w:val="7E782DDD"/>
    <w:rsid w:val="7EAE37FE"/>
    <w:rsid w:val="7F120EF6"/>
    <w:rsid w:val="7F6F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1"/>
      <w:u w:val="none" w:color="auto"/>
      <w:shd w:val="clear" w:color="auto" w:fill="auto"/>
      <w:vertAlign w:val="baseline"/>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unhideWhenUsed/>
    <w:qFormat/>
    <w:uiPriority w:val="99"/>
    <w:pPr>
      <w:spacing w:after="0" w:afterLines="0"/>
      <w:ind w:left="0" w:leftChars="0" w:firstLine="420" w:firstLineChars="200"/>
    </w:pPr>
    <w:rPr>
      <w:rFonts w:ascii="Calibri" w:hAnsi="Calibri" w:eastAsia="仿宋_GB2312"/>
      <w:sz w:val="36"/>
      <w:szCs w:val="36"/>
    </w:rPr>
  </w:style>
  <w:style w:type="paragraph" w:customStyle="1" w:styleId="9">
    <w:name w:val="BodyText"/>
    <w:basedOn w:val="1"/>
    <w:next w:val="1"/>
    <w:qFormat/>
    <w:uiPriority w:val="0"/>
    <w:pPr>
      <w:spacing w:after="120"/>
      <w:jc w:val="both"/>
      <w:textAlignment w:val="baseline"/>
    </w:pPr>
  </w:style>
  <w:style w:type="character" w:customStyle="1" w:styleId="10">
    <w:name w:val="NormalCharacter"/>
    <w:qFormat/>
    <w:uiPriority w:val="0"/>
    <w:rPr>
      <w:rFonts w:ascii="Times New Roman" w:hAnsi="Times New Roman" w:eastAsia="宋体" w:cs="Times New Roman"/>
      <w:kern w:val="2"/>
      <w:sz w:val="21"/>
      <w:szCs w:val="24"/>
      <w:lang w:val="en-US" w:eastAsia="zh-CN" w:bidi="ar-SA"/>
    </w:rPr>
  </w:style>
  <w:style w:type="paragraph" w:styleId="11">
    <w:name w:val="List Paragraph"/>
    <w:basedOn w:val="1"/>
    <w:qFormat/>
    <w:uiPriority w:val="0"/>
    <w:pPr>
      <w:ind w:firstLine="420" w:firstLineChars="200"/>
    </w:pPr>
    <w:rPr>
      <w:rFonts w:ascii="Times New Roman" w:hAnsi="Times New Roman" w:eastAsia="宋体" w:cs="Times New Roman"/>
    </w:rPr>
  </w:style>
  <w:style w:type="paragraph" w:customStyle="1" w:styleId="12">
    <w:name w:val="Other|1"/>
    <w:basedOn w:val="1"/>
    <w:qFormat/>
    <w:uiPriority w:val="0"/>
    <w:pPr>
      <w:spacing w:line="480" w:lineRule="auto"/>
      <w:ind w:firstLine="400"/>
      <w:textAlignment w:val="baseline"/>
    </w:pPr>
    <w:rPr>
      <w:rFonts w:ascii="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14740</Words>
  <Characters>15607</Characters>
  <Lines>0</Lines>
  <Paragraphs>0</Paragraphs>
  <TotalTime>6</TotalTime>
  <ScaleCrop>false</ScaleCrop>
  <LinksUpToDate>false</LinksUpToDate>
  <CharactersWithSpaces>15967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2023-04-10T08:09:00Z</dcterms:created>
  <dc:creator>TTwo</dc:creator>
  <cp:lastModifiedBy>good</cp:lastModifiedBy>
  <cp:lastPrinted>2024-01-23T02:57:00Z</cp:lastPrinted>
  <dcterms:modified xsi:type="dcterms:W3CDTF">2024-01-30T01:06:31Z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1120E9482D6D4D4991EC62E975DD6D8A_13</vt:lpwstr>
  </property>
</Properties>
</file>