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00" w:beforeAutospacing="1" w:after="100" w:afterAutospacing="1"/>
        <w:jc w:val="left"/>
        <w:rPr>
          <w:rFonts w:hint="eastAsia" w:ascii="仿宋_GB2312" w:hAnsi="仿宋_GB2312" w:eastAsia="仿宋_GB2312" w:cs="仿宋_GB2312"/>
          <w:sz w:val="24"/>
        </w:rPr>
      </w:pPr>
      <w:r>
        <w:rPr>
          <w:rFonts w:hint="eastAsia" w:ascii="仿宋_GB2312" w:hAnsi="仿宋_GB2312" w:eastAsia="仿宋_GB2312" w:cs="仿宋_GB2312"/>
          <w:sz w:val="24"/>
        </w:rPr>
        <w:t>附件1-2</w:t>
      </w:r>
    </w:p>
    <w:p>
      <w:pPr>
        <w:pStyle w:val="2"/>
        <w:widowControl w:val="0"/>
        <w:spacing w:before="0" w:beforeAutospacing="0" w:after="0" w:afterAutospacing="0" w:line="800" w:lineRule="exact"/>
        <w:jc w:val="center"/>
        <w:rPr>
          <w:rStyle w:val="4"/>
          <w:rFonts w:ascii="Times New Roman" w:hAnsi="Times New Roman" w:eastAsia="方正粗宋简体" w:cs="Times New Roman"/>
          <w:b w:val="0"/>
          <w:bCs w:val="0"/>
          <w:spacing w:val="-23"/>
          <w:sz w:val="36"/>
          <w:szCs w:val="36"/>
        </w:rPr>
      </w:pPr>
      <w:r>
        <w:rPr>
          <w:rStyle w:val="4"/>
          <w:rFonts w:ascii="Times New Roman" w:hAnsi="Times New Roman" w:eastAsia="方正粗宋简体" w:cs="Times New Roman"/>
          <w:b w:val="0"/>
          <w:bCs w:val="0"/>
          <w:spacing w:val="-23"/>
          <w:sz w:val="36"/>
          <w:szCs w:val="36"/>
        </w:rPr>
        <w:t>20</w:t>
      </w:r>
      <w:r>
        <w:rPr>
          <w:rStyle w:val="4"/>
          <w:rFonts w:hint="eastAsia" w:ascii="Times New Roman" w:hAnsi="Times New Roman" w:eastAsia="方正粗宋简体" w:cs="Times New Roman"/>
          <w:b w:val="0"/>
          <w:bCs w:val="0"/>
          <w:spacing w:val="-23"/>
          <w:sz w:val="36"/>
          <w:szCs w:val="36"/>
          <w:lang w:val="en-US" w:eastAsia="zh-CN"/>
        </w:rPr>
        <w:t>23</w:t>
      </w:r>
      <w:r>
        <w:rPr>
          <w:rStyle w:val="4"/>
          <w:rFonts w:ascii="Times New Roman" w:hAnsi="Times New Roman" w:eastAsia="方正粗宋简体" w:cs="Times New Roman"/>
          <w:b w:val="0"/>
          <w:bCs w:val="0"/>
          <w:spacing w:val="-23"/>
          <w:sz w:val="36"/>
          <w:szCs w:val="36"/>
        </w:rPr>
        <w:t>年度</w:t>
      </w:r>
      <w:r>
        <w:rPr>
          <w:rStyle w:val="4"/>
          <w:rFonts w:hint="eastAsia" w:ascii="Times New Roman" w:hAnsi="Times New Roman" w:eastAsia="方正粗宋简体" w:cs="Times New Roman"/>
          <w:b w:val="0"/>
          <w:bCs w:val="0"/>
          <w:spacing w:val="-23"/>
          <w:sz w:val="36"/>
          <w:szCs w:val="36"/>
        </w:rPr>
        <w:t>新晃县</w:t>
      </w:r>
      <w:r>
        <w:rPr>
          <w:rStyle w:val="4"/>
          <w:rFonts w:hint="eastAsia" w:ascii="Times New Roman" w:hAnsi="Times New Roman" w:eastAsia="方正粗宋简体" w:cs="Times New Roman"/>
          <w:b w:val="0"/>
          <w:bCs w:val="0"/>
          <w:spacing w:val="-23"/>
          <w:sz w:val="36"/>
          <w:szCs w:val="36"/>
          <w:lang w:eastAsia="zh-CN"/>
        </w:rPr>
        <w:t>步头降苗族乡人民政府</w:t>
      </w:r>
      <w:r>
        <w:rPr>
          <w:rStyle w:val="4"/>
          <w:rFonts w:ascii="Times New Roman" w:hAnsi="Times New Roman" w:eastAsia="方正粗宋简体" w:cs="Times New Roman"/>
          <w:b w:val="0"/>
          <w:bCs w:val="0"/>
          <w:spacing w:val="-23"/>
          <w:sz w:val="36"/>
          <w:szCs w:val="36"/>
        </w:rPr>
        <w:t>整体支出绩效</w:t>
      </w:r>
    </w:p>
    <w:p>
      <w:pPr>
        <w:pStyle w:val="2"/>
        <w:widowControl w:val="0"/>
        <w:spacing w:before="0" w:beforeAutospacing="0" w:after="0" w:afterAutospacing="0" w:line="800" w:lineRule="exact"/>
        <w:jc w:val="center"/>
        <w:rPr>
          <w:rStyle w:val="4"/>
          <w:rFonts w:ascii="Times New Roman" w:hAnsi="Times New Roman" w:eastAsia="方正粗宋简体" w:cs="Times New Roman"/>
          <w:b w:val="0"/>
          <w:bCs w:val="0"/>
          <w:spacing w:val="-23"/>
          <w:sz w:val="36"/>
          <w:szCs w:val="36"/>
        </w:rPr>
      </w:pPr>
      <w:r>
        <w:rPr>
          <w:rStyle w:val="4"/>
          <w:rFonts w:ascii="Times New Roman" w:hAnsi="Times New Roman" w:eastAsia="方正粗宋简体" w:cs="Times New Roman"/>
          <w:b w:val="0"/>
          <w:bCs w:val="0"/>
          <w:spacing w:val="-23"/>
          <w:sz w:val="36"/>
          <w:szCs w:val="36"/>
        </w:rPr>
        <w:t>自评报告</w:t>
      </w:r>
    </w:p>
    <w:p>
      <w:pPr>
        <w:spacing w:before="240" w:line="560" w:lineRule="exact"/>
        <w:ind w:firstLine="400" w:firstLineChars="200"/>
        <w:jc w:val="left"/>
      </w:pPr>
      <w:r>
        <w:t xml:space="preserve">   </w:t>
      </w:r>
      <w:r>
        <w:rPr>
          <w:rFonts w:eastAsia="仿宋_GB2312"/>
          <w:sz w:val="32"/>
          <w:szCs w:val="32"/>
        </w:rPr>
        <w:t>一、部门（单位）基本概况</w:t>
      </w:r>
    </w:p>
    <w:p>
      <w:pPr>
        <w:spacing w:line="560" w:lineRule="exact"/>
        <w:ind w:firstLine="640" w:firstLineChars="200"/>
        <w:jc w:val="left"/>
        <w:rPr>
          <w:rFonts w:hint="eastAsia" w:eastAsia="仿宋_GB2312"/>
          <w:color w:val="auto"/>
          <w:sz w:val="32"/>
          <w:szCs w:val="32"/>
          <w:lang w:val="en-US" w:eastAsia="zh-CN"/>
        </w:rPr>
      </w:pPr>
      <w:r>
        <w:rPr>
          <w:rFonts w:hint="eastAsia" w:eastAsia="仿宋_GB2312"/>
          <w:sz w:val="32"/>
          <w:szCs w:val="32"/>
          <w:lang w:eastAsia="zh-CN"/>
        </w:rPr>
        <w:t>我单位共设有六办三中心包括党政办公室、党建办公室、社会事务办公室、经济发展办公室、社会治安和应急管理办公室、自然资源和生态环境办公室、社会事务服务中心、农业综合服务中心、政务服务中心、以及司法所、国土所、财政所等部门。编制人数</w:t>
      </w:r>
      <w:r>
        <w:rPr>
          <w:rFonts w:hint="eastAsia" w:eastAsia="仿宋_GB2312"/>
          <w:sz w:val="32"/>
          <w:szCs w:val="32"/>
          <w:lang w:val="en-US" w:eastAsia="zh-CN"/>
        </w:rPr>
        <w:t>40</w:t>
      </w:r>
      <w:r>
        <w:rPr>
          <w:rFonts w:hint="eastAsia" w:eastAsia="仿宋_GB2312"/>
          <w:sz w:val="32"/>
          <w:szCs w:val="32"/>
          <w:lang w:eastAsia="zh-CN"/>
        </w:rPr>
        <w:t>人，其中：行政编制</w:t>
      </w:r>
      <w:r>
        <w:rPr>
          <w:rFonts w:hint="eastAsia" w:eastAsia="仿宋_GB2312"/>
          <w:sz w:val="32"/>
          <w:szCs w:val="32"/>
          <w:lang w:val="en-US" w:eastAsia="zh-CN"/>
        </w:rPr>
        <w:t>16</w:t>
      </w:r>
      <w:r>
        <w:rPr>
          <w:rFonts w:hint="eastAsia" w:eastAsia="仿宋_GB2312"/>
          <w:sz w:val="32"/>
          <w:szCs w:val="32"/>
          <w:lang w:eastAsia="zh-CN"/>
        </w:rPr>
        <w:t>人，事业编制</w:t>
      </w:r>
      <w:r>
        <w:rPr>
          <w:rFonts w:hint="eastAsia" w:eastAsia="仿宋_GB2312"/>
          <w:sz w:val="32"/>
          <w:szCs w:val="32"/>
          <w:lang w:val="en-US" w:eastAsia="zh-CN"/>
        </w:rPr>
        <w:t>24</w:t>
      </w:r>
      <w:r>
        <w:rPr>
          <w:rFonts w:hint="eastAsia" w:eastAsia="仿宋_GB2312"/>
          <w:sz w:val="32"/>
          <w:szCs w:val="32"/>
          <w:lang w:eastAsia="zh-CN"/>
        </w:rPr>
        <w:t>人；实际在</w:t>
      </w:r>
      <w:r>
        <w:rPr>
          <w:rFonts w:hint="eastAsia" w:eastAsia="仿宋_GB2312"/>
          <w:color w:val="auto"/>
          <w:sz w:val="32"/>
          <w:szCs w:val="32"/>
          <w:lang w:eastAsia="zh-CN"/>
        </w:rPr>
        <w:t>岗编制人数</w:t>
      </w:r>
      <w:r>
        <w:rPr>
          <w:rFonts w:hint="eastAsia" w:eastAsia="仿宋_GB2312"/>
          <w:color w:val="auto"/>
          <w:sz w:val="32"/>
          <w:szCs w:val="32"/>
          <w:lang w:val="en-US" w:eastAsia="zh-CN"/>
        </w:rPr>
        <w:t>37</w:t>
      </w:r>
      <w:r>
        <w:rPr>
          <w:rFonts w:hint="eastAsia" w:eastAsia="仿宋_GB2312"/>
          <w:color w:val="auto"/>
          <w:sz w:val="32"/>
          <w:szCs w:val="32"/>
          <w:lang w:eastAsia="zh-CN"/>
        </w:rPr>
        <w:t>人，退休人员</w:t>
      </w:r>
      <w:r>
        <w:rPr>
          <w:rFonts w:hint="eastAsia" w:eastAsia="仿宋_GB2312"/>
          <w:color w:val="auto"/>
          <w:sz w:val="32"/>
          <w:szCs w:val="32"/>
          <w:lang w:val="en-US" w:eastAsia="zh-CN"/>
        </w:rPr>
        <w:t>6人，临聘人员2人，社工3人。</w:t>
      </w:r>
    </w:p>
    <w:p>
      <w:pPr>
        <w:spacing w:line="560" w:lineRule="exact"/>
        <w:ind w:firstLine="640" w:firstLineChars="200"/>
        <w:jc w:val="left"/>
        <w:rPr>
          <w:rFonts w:hint="eastAsia" w:eastAsia="仿宋_GB2312"/>
          <w:color w:val="auto"/>
          <w:sz w:val="32"/>
          <w:szCs w:val="32"/>
          <w:lang w:val="en-US" w:eastAsia="zh-CN"/>
        </w:rPr>
      </w:pPr>
      <w:r>
        <w:rPr>
          <w:rFonts w:hint="eastAsia" w:eastAsia="仿宋_GB2312"/>
          <w:color w:val="auto"/>
          <w:sz w:val="32"/>
          <w:szCs w:val="32"/>
          <w:lang w:val="en-US" w:eastAsia="zh-CN"/>
        </w:rPr>
        <w:t>2023年年初结余0万元，2023年本年收入1182.91万元，本年支出1182.91万元，年末结余0万元。年末固定资产原值204.66万元，累计折旧99.88万元，净值104.78万元。</w:t>
      </w:r>
    </w:p>
    <w:p>
      <w:pPr>
        <w:spacing w:line="560" w:lineRule="exact"/>
        <w:ind w:firstLine="640" w:firstLineChars="200"/>
        <w:jc w:val="left"/>
        <w:rPr>
          <w:rFonts w:hint="eastAsia" w:eastAsia="仿宋_GB2312"/>
          <w:color w:val="auto"/>
          <w:sz w:val="32"/>
          <w:szCs w:val="32"/>
          <w:lang w:val="en-US" w:eastAsia="zh-CN"/>
        </w:rPr>
      </w:pPr>
      <w:r>
        <w:rPr>
          <w:rFonts w:hint="eastAsia" w:eastAsia="仿宋_GB2312"/>
          <w:color w:val="auto"/>
          <w:sz w:val="32"/>
          <w:szCs w:val="32"/>
          <w:lang w:val="en-US" w:eastAsia="zh-CN"/>
        </w:rPr>
        <w:t>我单位根据上级要求，制定了《步头降乡政府财务管理制度》、《步头降乡政府内部控制制度汇编》《步头降乡政府内部控制手册》等财务管理制度并严格执行。</w:t>
      </w:r>
    </w:p>
    <w:p>
      <w:pPr>
        <w:spacing w:line="560" w:lineRule="exact"/>
        <w:ind w:firstLine="640" w:firstLineChars="200"/>
        <w:jc w:val="left"/>
        <w:rPr>
          <w:rFonts w:eastAsia="仿宋_GB2312"/>
          <w:sz w:val="32"/>
          <w:szCs w:val="32"/>
        </w:rPr>
      </w:pPr>
      <w:r>
        <w:rPr>
          <w:rFonts w:eastAsia="仿宋_GB2312"/>
          <w:sz w:val="32"/>
          <w:szCs w:val="32"/>
        </w:rPr>
        <w:t>二、部门（单位）整体支出绩效状况</w:t>
      </w:r>
    </w:p>
    <w:p>
      <w:pPr>
        <w:spacing w:line="560" w:lineRule="exact"/>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eastAsia="zh-CN"/>
        </w:rPr>
        <w:t>根据《部门整体支出绩效评价指标》评分表，自评得分</w:t>
      </w:r>
      <w:r>
        <w:rPr>
          <w:rFonts w:hint="eastAsia" w:ascii="仿宋" w:hAnsi="仿宋" w:eastAsia="仿宋" w:cs="仿宋"/>
          <w:sz w:val="32"/>
          <w:szCs w:val="32"/>
          <w:lang w:val="en-US" w:eastAsia="zh-CN"/>
        </w:rPr>
        <w:t>96分，整体支出绩效为“优秀”，主要绩效如下：2023年，步头降苗族乡人民政府坚持以习近平新时代中国特色社会主义思想为指导，在上级政府的坚持领导下，牢固“四个意识”，践行“两个维护”。全面贯彻落实党的二十大精神，坚持党的领导、人民当家做主、依法治国有机统一，在县委、县政府坚强领导下，严格依法履职，积极主动作为，较好完成了县里交办的各项目标任务，各项工作取得新进展、新成效，为全乡经济健康发展和社会稳定提供了坚实的支撑。</w:t>
      </w:r>
    </w:p>
    <w:p>
      <w:pPr>
        <w:spacing w:line="560" w:lineRule="exact"/>
        <w:ind w:firstLine="640" w:firstLineChars="200"/>
        <w:jc w:val="left"/>
        <w:rPr>
          <w:rFonts w:eastAsia="仿宋_GB2312"/>
          <w:sz w:val="32"/>
          <w:szCs w:val="32"/>
        </w:rPr>
      </w:pPr>
      <w:r>
        <w:rPr>
          <w:rFonts w:eastAsia="仿宋_GB2312"/>
          <w:sz w:val="32"/>
          <w:szCs w:val="32"/>
        </w:rPr>
        <w:t>三、存在的问题及原因</w:t>
      </w:r>
    </w:p>
    <w:p>
      <w:pPr>
        <w:spacing w:line="560" w:lineRule="exact"/>
        <w:ind w:firstLine="640" w:firstLineChars="200"/>
        <w:jc w:val="left"/>
        <w:rPr>
          <w:rFonts w:hint="eastAsia" w:eastAsia="仿宋_GB2312"/>
          <w:sz w:val="32"/>
          <w:szCs w:val="32"/>
          <w:lang w:eastAsia="zh-CN"/>
        </w:rPr>
      </w:pPr>
      <w:r>
        <w:rPr>
          <w:rFonts w:hint="eastAsia" w:eastAsia="仿宋_GB2312"/>
          <w:sz w:val="32"/>
          <w:szCs w:val="32"/>
          <w:lang w:eastAsia="zh-CN"/>
        </w:rPr>
        <w:t>我乡财政经济紧张，资金缺口过大，特别是政府公用经费尤其紧张。公用经费实行定额标准管理，预算标准与实际执行脱节，在很大程度上影响了资金的使用率。各种矛盾凸显导致我乡基本保障面临巨大的压力。</w:t>
      </w:r>
    </w:p>
    <w:p>
      <w:pPr>
        <w:spacing w:line="560" w:lineRule="exact"/>
        <w:ind w:left="640" w:leftChars="320" w:firstLine="0" w:firstLineChars="0"/>
        <w:jc w:val="left"/>
        <w:rPr>
          <w:rFonts w:eastAsia="仿宋_GB2312"/>
          <w:sz w:val="32"/>
          <w:szCs w:val="32"/>
        </w:rPr>
      </w:pPr>
      <w:r>
        <w:rPr>
          <w:rFonts w:eastAsia="仿宋_GB2312"/>
          <w:sz w:val="32"/>
          <w:szCs w:val="32"/>
        </w:rPr>
        <w:t>四、提高财政资金绩效的措施与建议</w:t>
      </w:r>
    </w:p>
    <w:p>
      <w:pPr>
        <w:numPr>
          <w:ilvl w:val="0"/>
          <w:numId w:val="1"/>
        </w:numPr>
        <w:spacing w:line="560" w:lineRule="exact"/>
        <w:ind w:firstLine="640" w:firstLineChars="200"/>
        <w:jc w:val="left"/>
        <w:rPr>
          <w:rFonts w:hint="eastAsia" w:eastAsia="仿宋_GB2312"/>
          <w:sz w:val="32"/>
          <w:szCs w:val="32"/>
          <w:lang w:val="en-US" w:eastAsia="zh-CN"/>
        </w:rPr>
      </w:pPr>
      <w:r>
        <w:rPr>
          <w:rFonts w:hint="eastAsia" w:eastAsia="仿宋_GB2312"/>
          <w:sz w:val="32"/>
          <w:szCs w:val="32"/>
          <w:lang w:val="en-US" w:eastAsia="zh-CN"/>
        </w:rPr>
        <w:t>科学合理编制预算，严格执行预算</w:t>
      </w:r>
    </w:p>
    <w:p>
      <w:pPr>
        <w:numPr>
          <w:ilvl w:val="0"/>
          <w:numId w:val="0"/>
        </w:numPr>
        <w:spacing w:line="560" w:lineRule="exact"/>
        <w:ind w:firstLine="640" w:firstLineChars="200"/>
        <w:jc w:val="left"/>
        <w:rPr>
          <w:rFonts w:hint="eastAsia" w:eastAsia="仿宋_GB2312"/>
          <w:sz w:val="32"/>
          <w:szCs w:val="32"/>
          <w:lang w:val="en-US" w:eastAsia="zh-CN"/>
        </w:rPr>
      </w:pPr>
      <w:r>
        <w:rPr>
          <w:rFonts w:hint="eastAsia" w:eastAsia="仿宋_GB2312"/>
          <w:sz w:val="32"/>
          <w:szCs w:val="32"/>
          <w:lang w:val="en-US" w:eastAsia="zh-CN"/>
        </w:rPr>
        <w:t>加强预算编制的前瞻性，按照预算一体化系统及其实施条例的相关规定，按照政策规定及本部门的发展规划，结合上一年度预算执行情况与本年度预算收支变化，科学、合理的编制本年预算草案，避免项目支出与基本支出划分不准或预算支出与实际执行出现较大偏差的情况，执行中需调剂预算的，按规定程序报经批准。</w:t>
      </w:r>
    </w:p>
    <w:p>
      <w:pPr>
        <w:numPr>
          <w:ilvl w:val="0"/>
          <w:numId w:val="1"/>
        </w:numPr>
        <w:tabs>
          <w:tab w:val="clear" w:pos="312"/>
        </w:tabs>
        <w:spacing w:line="560" w:lineRule="exact"/>
        <w:ind w:left="1" w:leftChars="0" w:firstLine="640" w:firstLineChars="200"/>
        <w:jc w:val="left"/>
        <w:rPr>
          <w:rFonts w:hint="eastAsia" w:eastAsia="仿宋_GB2312"/>
          <w:sz w:val="32"/>
          <w:szCs w:val="32"/>
          <w:lang w:val="en-US" w:eastAsia="zh-CN"/>
        </w:rPr>
      </w:pPr>
      <w:r>
        <w:rPr>
          <w:rFonts w:hint="eastAsia" w:eastAsia="仿宋_GB2312"/>
          <w:sz w:val="32"/>
          <w:szCs w:val="32"/>
          <w:lang w:val="en-US" w:eastAsia="zh-CN"/>
        </w:rPr>
        <w:t>完善管理制度，进一步加强资产管理</w:t>
      </w:r>
    </w:p>
    <w:p>
      <w:pPr>
        <w:numPr>
          <w:ilvl w:val="0"/>
          <w:numId w:val="0"/>
        </w:numPr>
        <w:spacing w:line="560" w:lineRule="exact"/>
        <w:ind w:firstLine="640"/>
        <w:jc w:val="left"/>
        <w:rPr>
          <w:rFonts w:hint="eastAsia" w:eastAsia="仿宋_GB2312"/>
          <w:sz w:val="32"/>
          <w:szCs w:val="32"/>
          <w:lang w:val="en-US" w:eastAsia="zh-CN"/>
        </w:rPr>
      </w:pPr>
      <w:r>
        <w:rPr>
          <w:rFonts w:hint="eastAsia" w:eastAsia="仿宋_GB2312"/>
          <w:sz w:val="32"/>
          <w:szCs w:val="32"/>
          <w:lang w:val="en-US" w:eastAsia="zh-CN"/>
        </w:rPr>
        <w:t>进一步贯彻落实中央“八项规定”和湖南省委“九条规定”，建立本部门“三公经费”等公务支出管理制度及厉行节约制度，加强经费审批和控制，规范支出标准与范围，并严格执行。严格按照《固定资产管理办法》的规定加强固定资产管理，及时登记、更新台账，加强资产卡片管理，年终前对各类实物资产进行全面盘点，确保账账、账实相符。</w:t>
      </w:r>
    </w:p>
    <w:p>
      <w:pPr>
        <w:numPr>
          <w:ilvl w:val="0"/>
          <w:numId w:val="1"/>
        </w:numPr>
        <w:tabs>
          <w:tab w:val="clear" w:pos="312"/>
        </w:tabs>
        <w:spacing w:line="560" w:lineRule="exact"/>
        <w:ind w:left="1" w:leftChars="0" w:firstLine="640" w:firstLineChars="200"/>
        <w:jc w:val="left"/>
        <w:rPr>
          <w:rFonts w:hint="eastAsia" w:eastAsia="仿宋_GB2312"/>
          <w:sz w:val="32"/>
          <w:szCs w:val="32"/>
          <w:lang w:val="en-US" w:eastAsia="zh-CN"/>
        </w:rPr>
      </w:pPr>
      <w:r>
        <w:rPr>
          <w:rFonts w:hint="eastAsia" w:eastAsia="仿宋_GB2312"/>
          <w:sz w:val="32"/>
          <w:szCs w:val="32"/>
          <w:lang w:val="en-US" w:eastAsia="zh-CN"/>
        </w:rPr>
        <w:t>加强法治教育，严肃财经法规</w:t>
      </w:r>
    </w:p>
    <w:p>
      <w:pPr>
        <w:numPr>
          <w:ilvl w:val="0"/>
          <w:numId w:val="0"/>
        </w:numPr>
        <w:spacing w:line="560" w:lineRule="exact"/>
        <w:ind w:firstLine="640"/>
        <w:jc w:val="left"/>
        <w:rPr>
          <w:rFonts w:hint="eastAsia" w:eastAsia="仿宋_GB2312"/>
          <w:sz w:val="32"/>
          <w:szCs w:val="32"/>
          <w:lang w:val="en-US" w:eastAsia="zh-CN"/>
        </w:rPr>
      </w:pPr>
      <w:r>
        <w:rPr>
          <w:rFonts w:hint="eastAsia" w:eastAsia="仿宋_GB2312"/>
          <w:sz w:val="32"/>
          <w:szCs w:val="32"/>
          <w:lang w:val="en-US" w:eastAsia="zh-CN"/>
        </w:rPr>
        <w:t>强化法律意识，高度重视财务管理工作，进一步提高有关工作人员的专业知识水平和业务工作能力，不断完善内部控制，努力提高财务管理水平，规格预算执行。</w:t>
      </w:r>
    </w:p>
    <w:p>
      <w:pPr>
        <w:numPr>
          <w:ilvl w:val="0"/>
          <w:numId w:val="1"/>
        </w:numPr>
        <w:tabs>
          <w:tab w:val="clear" w:pos="312"/>
        </w:tabs>
        <w:spacing w:line="560" w:lineRule="exact"/>
        <w:ind w:left="1" w:leftChars="0" w:firstLine="640" w:firstLineChars="200"/>
        <w:jc w:val="left"/>
        <w:rPr>
          <w:rFonts w:hint="eastAsia" w:eastAsia="仿宋_GB2312"/>
          <w:sz w:val="32"/>
          <w:szCs w:val="32"/>
          <w:lang w:val="en-US" w:eastAsia="zh-CN"/>
        </w:rPr>
      </w:pPr>
      <w:r>
        <w:rPr>
          <w:rFonts w:hint="eastAsia" w:eastAsia="仿宋_GB2312"/>
          <w:sz w:val="32"/>
          <w:szCs w:val="32"/>
          <w:lang w:val="en-US" w:eastAsia="zh-CN"/>
        </w:rPr>
        <w:t>不断提高财政资金的使用效益</w:t>
      </w:r>
    </w:p>
    <w:p>
      <w:pPr>
        <w:numPr>
          <w:ilvl w:val="0"/>
          <w:numId w:val="0"/>
        </w:numPr>
        <w:spacing w:line="560" w:lineRule="exact"/>
        <w:ind w:firstLine="640"/>
        <w:jc w:val="left"/>
        <w:rPr>
          <w:rFonts w:hint="eastAsia" w:eastAsia="仿宋_GB2312"/>
          <w:sz w:val="32"/>
          <w:szCs w:val="32"/>
          <w:lang w:val="en-US" w:eastAsia="zh-CN"/>
        </w:rPr>
      </w:pPr>
      <w:r>
        <w:rPr>
          <w:rFonts w:hint="eastAsia" w:eastAsia="仿宋_GB2312"/>
          <w:sz w:val="32"/>
          <w:szCs w:val="32"/>
          <w:lang w:val="en-US" w:eastAsia="zh-CN"/>
        </w:rPr>
        <w:t>积极探索、建立财政预算的绩效评价体系和考核制度，加强预算执行分析，强化决算管理。建立预算执行追踪问效制度，有效控制公用经费的支出，提高预算资金的使用效益。</w:t>
      </w:r>
    </w:p>
    <w:p>
      <w:pPr>
        <w:numPr>
          <w:ilvl w:val="0"/>
          <w:numId w:val="1"/>
        </w:numPr>
        <w:tabs>
          <w:tab w:val="clear" w:pos="312"/>
        </w:tabs>
        <w:spacing w:line="560" w:lineRule="exact"/>
        <w:ind w:left="1" w:leftChars="0" w:firstLine="640" w:firstLineChars="200"/>
        <w:jc w:val="left"/>
        <w:rPr>
          <w:rFonts w:hint="eastAsia" w:eastAsia="仿宋_GB2312"/>
          <w:sz w:val="32"/>
          <w:szCs w:val="32"/>
          <w:lang w:val="en-US" w:eastAsia="zh-CN"/>
        </w:rPr>
      </w:pPr>
      <w:r>
        <w:rPr>
          <w:rFonts w:hint="eastAsia" w:eastAsia="仿宋_GB2312"/>
          <w:sz w:val="32"/>
          <w:szCs w:val="32"/>
          <w:lang w:val="en-US" w:eastAsia="zh-CN"/>
        </w:rPr>
        <w:t>加强新会计制度和新预算法学习培训</w:t>
      </w:r>
    </w:p>
    <w:p>
      <w:pPr>
        <w:numPr>
          <w:ilvl w:val="0"/>
          <w:numId w:val="0"/>
        </w:numPr>
        <w:spacing w:line="560" w:lineRule="exact"/>
        <w:jc w:val="left"/>
        <w:rPr>
          <w:rFonts w:hint="eastAsia" w:eastAsia="仿宋_GB2312"/>
          <w:sz w:val="32"/>
          <w:szCs w:val="32"/>
          <w:lang w:val="en-US" w:eastAsia="zh-CN"/>
        </w:rPr>
      </w:pPr>
      <w:r>
        <w:rPr>
          <w:rFonts w:hint="eastAsia" w:eastAsia="仿宋_GB2312"/>
          <w:sz w:val="32"/>
          <w:szCs w:val="32"/>
          <w:lang w:val="en-US" w:eastAsia="zh-CN"/>
        </w:rPr>
        <w:t xml:space="preserve">    加强学习培训，规范部门预算收支核算。一是加强财务人员培训，提高财务人员专业水平；二是制定和完善基本支出、项目支出等各项支出标准，严格按照项目和晋档执行预算，增强预算的约束力和严肃性；三是落实预算执行分析，及时了解预算执行差异，合理调整、纠正预算执行偏差，切实提高部门预算收支管理水平。</w:t>
      </w:r>
    </w:p>
    <w:p>
      <w:pPr>
        <w:spacing w:line="560" w:lineRule="exact"/>
        <w:ind w:firstLine="640" w:firstLineChars="200"/>
        <w:jc w:val="left"/>
        <w:rPr>
          <w:rFonts w:hint="eastAsia" w:eastAsia="仿宋_GB2312"/>
          <w:sz w:val="32"/>
          <w:szCs w:val="32"/>
          <w:lang w:eastAsia="zh-CN"/>
        </w:rPr>
      </w:pPr>
      <w:r>
        <w:rPr>
          <w:rFonts w:eastAsia="仿宋_GB2312"/>
          <w:sz w:val="32"/>
          <w:szCs w:val="32"/>
        </w:rPr>
        <w:t xml:space="preserve">             </w:t>
      </w:r>
      <w:r>
        <w:rPr>
          <w:rFonts w:hint="eastAsia" w:eastAsia="仿宋_GB2312"/>
          <w:sz w:val="32"/>
          <w:szCs w:val="32"/>
        </w:rPr>
        <w:t xml:space="preserve">              </w:t>
      </w:r>
      <w:r>
        <w:rPr>
          <w:rFonts w:hint="eastAsia" w:eastAsia="仿宋_GB2312"/>
          <w:sz w:val="32"/>
          <w:szCs w:val="32"/>
          <w:lang w:eastAsia="zh-CN"/>
        </w:rPr>
        <w:t>步头降苗族乡人民政府</w:t>
      </w:r>
    </w:p>
    <w:p>
      <w:r>
        <w:rPr>
          <w:rFonts w:eastAsia="仿宋_GB2312"/>
          <w:sz w:val="32"/>
          <w:szCs w:val="32"/>
        </w:rPr>
        <w:t xml:space="preserve">                                  </w:t>
      </w:r>
      <w:r>
        <w:rPr>
          <w:rFonts w:hint="eastAsia" w:eastAsia="仿宋_GB2312"/>
          <w:sz w:val="32"/>
          <w:szCs w:val="32"/>
          <w:lang w:val="en-US" w:eastAsia="zh-CN"/>
        </w:rPr>
        <w:t>2024</w:t>
      </w:r>
      <w:r>
        <w:rPr>
          <w:rFonts w:eastAsia="仿宋_GB2312"/>
          <w:sz w:val="32"/>
          <w:szCs w:val="32"/>
        </w:rPr>
        <w:t>年</w:t>
      </w:r>
      <w:r>
        <w:rPr>
          <w:rFonts w:hint="eastAsia" w:eastAsia="仿宋_GB2312"/>
          <w:sz w:val="32"/>
          <w:szCs w:val="32"/>
          <w:lang w:val="en-US" w:eastAsia="zh-CN"/>
        </w:rPr>
        <w:t>4</w:t>
      </w:r>
      <w:r>
        <w:rPr>
          <w:rFonts w:eastAsia="仿宋_GB2312"/>
          <w:sz w:val="32"/>
          <w:szCs w:val="32"/>
        </w:rPr>
        <w:t>月</w:t>
      </w:r>
      <w:r>
        <w:rPr>
          <w:rFonts w:hint="eastAsia" w:eastAsia="仿宋_GB2312"/>
          <w:sz w:val="32"/>
          <w:szCs w:val="32"/>
          <w:lang w:val="en-US" w:eastAsia="zh-CN"/>
        </w:rPr>
        <w:t>11</w:t>
      </w:r>
      <w:r>
        <w:rPr>
          <w:rFonts w:eastAsia="仿宋_GB2312"/>
          <w:sz w:val="32"/>
          <w:szCs w:val="32"/>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粗宋简体">
    <w:altName w:val="宋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3BFD2"/>
    <w:multiLevelType w:val="singleLevel"/>
    <w:tmpl w:val="0523BFD2"/>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M1NDkxODI4NzVlZWMzNGIzY2MxODMwZGY0ZjUxOTMifQ=="/>
  </w:docVars>
  <w:rsids>
    <w:rsidRoot w:val="66B73D44"/>
    <w:rsid w:val="03211092"/>
    <w:rsid w:val="0B006766"/>
    <w:rsid w:val="0B5C7E69"/>
    <w:rsid w:val="0BD256AB"/>
    <w:rsid w:val="1B3F7E0F"/>
    <w:rsid w:val="26697F27"/>
    <w:rsid w:val="2E3526FB"/>
    <w:rsid w:val="3E440DD9"/>
    <w:rsid w:val="41F41C10"/>
    <w:rsid w:val="66B73D44"/>
    <w:rsid w:val="6F6139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3">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4">
    <w:name w:val="Strong"/>
    <w:qFormat/>
    <w:uiPriority w:val="0"/>
    <w:rPr>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1375</Words>
  <Characters>1420</Characters>
  <Lines>0</Lines>
  <Paragraphs>0</Paragraphs>
  <TotalTime>109</TotalTime>
  <ScaleCrop>false</ScaleCrop>
  <LinksUpToDate>false</LinksUpToDate>
  <CharactersWithSpaces>1488</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2022-05-09T01:24:00Z</dcterms:created>
  <dc:creator>燕尾蝶</dc:creator>
  <cp:lastModifiedBy>Administrator</cp:lastModifiedBy>
  <dcterms:modified xsi:type="dcterms:W3CDTF">2024-04-11T03:38:09Z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8686F2F9F82443E3965225BDA84B25DB</vt:lpwstr>
  </property>
</Properties>
</file>