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仿宋_GB2312" w:hAnsi="仿宋_GB2312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新晃县市场监督管理局</w:t>
      </w: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2020年度</w:t>
      </w:r>
      <w:r>
        <w:rPr>
          <w:rFonts w:hint="eastAsia" w:ascii="黑体" w:hAnsi="黑体" w:eastAsia="黑体" w:cs="黑体"/>
          <w:b/>
          <w:sz w:val="36"/>
          <w:szCs w:val="36"/>
        </w:rPr>
        <w:t>部门整体支出绩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效</w:t>
      </w:r>
      <w:r>
        <w:rPr>
          <w:rFonts w:hint="eastAsia" w:ascii="黑体" w:hAnsi="黑体" w:eastAsia="黑体" w:cs="黑体"/>
          <w:b/>
          <w:sz w:val="36"/>
          <w:szCs w:val="36"/>
        </w:rPr>
        <w:t>评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价报告</w:t>
      </w:r>
    </w:p>
    <w:p>
      <w:pPr>
        <w:spacing w:before="240" w:line="560" w:lineRule="exact"/>
        <w:ind w:firstLine="42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t xml:space="preserve"> </w:t>
      </w:r>
      <w:r>
        <w:rPr>
          <w:rFonts w:hint="eastAsia" w:ascii="黑体" w:hAnsi="黑体" w:eastAsia="黑体" w:cs="黑体"/>
          <w:b/>
          <w:bCs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spacing w:before="240"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一、部门（单位）基本概况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部门（单位）职能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我局主要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负责全县市场综合监管、市场主体统一登记注册、市场监管综合执法、反垄断、质量监管、特种设备的安全监察、食品安全监管综合协调、食品安全监管、计量和认证认可、标准化、知识产权、商标、消费维权、药品（含中药）、医疗器械和化妆品安全监管工作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组成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人员结构情况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：我局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内设机构15个，派出机构11个、事业单位5个。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年末实有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在编在岗职工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人，其中局机关和各市场监管所核定行政编制32名，目前在编在岗行政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名；核定事业编制76名，实际在编在岗事业30名；核定工勤编制6名，实际在编在岗工勤人员4名。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年末实有临时工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3人，实有退休人员80人（其中7人提前退休人员）。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left="638" w:leftChars="304" w:firstLine="0" w:firstLineChars="0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020</w:t>
      </w:r>
      <w:r>
        <w:rPr>
          <w:rFonts w:ascii="仿宋_GB2312" w:hAnsi="仿宋_GB2312" w:eastAsia="仿宋_GB2312"/>
          <w:kern w:val="0"/>
          <w:sz w:val="32"/>
          <w:szCs w:val="32"/>
        </w:rPr>
        <w:t>年度财政收支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情况</w:t>
      </w:r>
      <w:r>
        <w:rPr>
          <w:rFonts w:ascii="仿宋_GB2312" w:hAnsi="仿宋_GB2312" w:eastAsia="仿宋_GB2312"/>
          <w:kern w:val="0"/>
          <w:sz w:val="32"/>
          <w:szCs w:val="32"/>
        </w:rPr>
        <w:t>，财政财务管理制度及执行情况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24"/>
          <w:lang w:val="en-US"/>
        </w:rPr>
        <w:t>2020年本部门年初预算收入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1754.03</w:t>
      </w:r>
      <w:r>
        <w:rPr>
          <w:rFonts w:hint="eastAsia" w:ascii="仿宋" w:hAnsi="仿宋" w:eastAsia="仿宋"/>
          <w:sz w:val="32"/>
          <w:szCs w:val="24"/>
          <w:lang w:val="en-US"/>
        </w:rPr>
        <w:t>万元，</w:t>
      </w:r>
      <w:r>
        <w:rPr>
          <w:rFonts w:hint="eastAsia" w:ascii="仿宋_GB2312" w:eastAsia="仿宋_GB2312"/>
          <w:sz w:val="32"/>
          <w:szCs w:val="32"/>
        </w:rPr>
        <w:t>预算收入完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100.41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24"/>
          <w:lang w:val="en-US"/>
        </w:rPr>
        <w:t>2020年收入实际完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成1761.21</w:t>
      </w:r>
      <w:r>
        <w:rPr>
          <w:rFonts w:hint="eastAsia" w:ascii="仿宋" w:hAnsi="仿宋" w:eastAsia="仿宋"/>
          <w:sz w:val="32"/>
          <w:szCs w:val="24"/>
          <w:lang w:val="en-US"/>
        </w:rPr>
        <w:t>万元，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上年实际收入是1408.82万元，</w:t>
      </w:r>
      <w:r>
        <w:rPr>
          <w:rFonts w:hint="eastAsia" w:ascii="仿宋" w:hAnsi="仿宋" w:eastAsia="仿宋"/>
          <w:sz w:val="32"/>
          <w:szCs w:val="24"/>
          <w:lang w:val="en-US"/>
        </w:rPr>
        <w:t>比上年增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加352.39</w:t>
      </w:r>
      <w:r>
        <w:rPr>
          <w:rFonts w:hint="eastAsia" w:ascii="仿宋" w:hAnsi="仿宋" w:eastAsia="仿宋"/>
          <w:sz w:val="32"/>
          <w:szCs w:val="24"/>
          <w:lang w:val="en-US"/>
        </w:rPr>
        <w:t>万元，增长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25.01</w:t>
      </w:r>
      <w:r>
        <w:rPr>
          <w:rFonts w:hint="eastAsia" w:ascii="仿宋" w:hAnsi="仿宋" w:eastAsia="仿宋"/>
          <w:sz w:val="32"/>
          <w:szCs w:val="24"/>
          <w:lang w:val="en-US"/>
        </w:rPr>
        <w:t>%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24"/>
          <w:lang w:val="en-US"/>
        </w:rPr>
        <w:t>2020年本部门年初预算支出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1754.03</w:t>
      </w:r>
      <w:r>
        <w:rPr>
          <w:rFonts w:hint="eastAsia" w:ascii="仿宋" w:hAnsi="仿宋" w:eastAsia="仿宋"/>
          <w:sz w:val="32"/>
          <w:szCs w:val="24"/>
          <w:lang w:val="en-US"/>
        </w:rPr>
        <w:t>万元，2020年本部门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24"/>
          <w:lang w:val="en-US"/>
        </w:rPr>
        <w:t>支出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1697.49万元，</w:t>
      </w:r>
      <w:r>
        <w:rPr>
          <w:rFonts w:hint="eastAsia" w:ascii="仿宋_GB2312" w:eastAsia="仿宋_GB2312"/>
          <w:sz w:val="32"/>
          <w:szCs w:val="32"/>
        </w:rPr>
        <w:t>预算支出完成率为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96.78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上年支出1561.35万元，</w:t>
      </w:r>
      <w:r>
        <w:rPr>
          <w:rFonts w:hint="eastAsia" w:ascii="仿宋" w:hAnsi="仿宋" w:eastAsia="仿宋"/>
          <w:sz w:val="32"/>
          <w:szCs w:val="24"/>
          <w:lang w:val="en-US"/>
        </w:rPr>
        <w:t>比上年增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加136.14</w:t>
      </w:r>
      <w:r>
        <w:rPr>
          <w:rFonts w:hint="eastAsia" w:ascii="仿宋" w:hAnsi="仿宋" w:eastAsia="仿宋"/>
          <w:sz w:val="32"/>
          <w:szCs w:val="24"/>
          <w:lang w:val="en-US"/>
        </w:rPr>
        <w:t>万元，增长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8.72</w:t>
      </w:r>
      <w:r>
        <w:rPr>
          <w:rFonts w:hint="eastAsia" w:ascii="仿宋" w:hAnsi="仿宋" w:eastAsia="仿宋"/>
          <w:sz w:val="32"/>
          <w:szCs w:val="24"/>
          <w:lang w:val="en-US"/>
        </w:rPr>
        <w:t>%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人均开支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10.23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1296.46万元，基本支出比率76.38%。</w:t>
      </w:r>
      <w:r>
        <w:rPr>
          <w:rFonts w:hint="eastAsia" w:ascii="仿宋" w:hAnsi="仿宋" w:eastAsia="仿宋"/>
          <w:sz w:val="32"/>
          <w:szCs w:val="24"/>
          <w:lang w:val="en-US"/>
        </w:rPr>
        <w:t>项目支出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401.03</w:t>
      </w:r>
      <w:r>
        <w:rPr>
          <w:rFonts w:hint="eastAsia" w:ascii="仿宋" w:hAnsi="仿宋" w:eastAsia="仿宋"/>
          <w:sz w:val="32"/>
          <w:szCs w:val="24"/>
          <w:lang w:val="en-US"/>
        </w:rPr>
        <w:t>万元，</w:t>
      </w:r>
      <w:r>
        <w:rPr>
          <w:rFonts w:hint="eastAsia" w:ascii="仿宋_GB2312" w:eastAsia="仿宋_GB2312"/>
          <w:sz w:val="32"/>
          <w:szCs w:val="32"/>
        </w:rPr>
        <w:t>项目支出比率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23.62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24"/>
          <w:lang w:val="zh-CN"/>
        </w:rPr>
        <w:t>人员经费</w:t>
      </w:r>
      <w:r>
        <w:rPr>
          <w:rFonts w:hint="eastAsia" w:ascii="仿宋" w:hAnsi="仿宋" w:eastAsia="仿宋"/>
          <w:sz w:val="32"/>
          <w:szCs w:val="24"/>
          <w:lang w:val="en-US"/>
        </w:rPr>
        <w:t>完成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1134.74</w:t>
      </w:r>
      <w:r>
        <w:rPr>
          <w:rFonts w:hint="eastAsia" w:ascii="仿宋" w:hAnsi="仿宋" w:eastAsia="仿宋"/>
          <w:sz w:val="28"/>
          <w:szCs w:val="24"/>
          <w:lang w:val="en-US"/>
        </w:rPr>
        <w:t>万</w:t>
      </w:r>
      <w:r>
        <w:rPr>
          <w:rFonts w:hint="eastAsia" w:ascii="仿宋" w:hAnsi="仿宋" w:eastAsia="仿宋"/>
          <w:sz w:val="32"/>
          <w:szCs w:val="24"/>
          <w:lang w:val="en-US"/>
        </w:rPr>
        <w:t>元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人员支出比率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66.85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24"/>
          <w:lang w:val="en-US"/>
        </w:rPr>
        <w:t>公用</w:t>
      </w:r>
      <w:r>
        <w:rPr>
          <w:rFonts w:hint="eastAsia" w:ascii="仿宋" w:hAnsi="仿宋" w:eastAsia="仿宋"/>
          <w:sz w:val="32"/>
          <w:szCs w:val="24"/>
          <w:lang w:val="zh-CN"/>
        </w:rPr>
        <w:t>经费</w:t>
      </w:r>
      <w:r>
        <w:rPr>
          <w:rFonts w:hint="eastAsia" w:ascii="仿宋" w:hAnsi="仿宋" w:eastAsia="仿宋"/>
          <w:sz w:val="32"/>
          <w:szCs w:val="24"/>
          <w:lang w:val="en-US"/>
        </w:rPr>
        <w:t>完成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161.73</w:t>
      </w:r>
      <w:r>
        <w:rPr>
          <w:rFonts w:hint="eastAsia" w:ascii="仿宋" w:hAnsi="仿宋" w:eastAsia="仿宋"/>
          <w:sz w:val="32"/>
          <w:szCs w:val="24"/>
          <w:lang w:val="en-US"/>
        </w:rPr>
        <w:t>万元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公用支出比率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9.53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单位资产情况：资产总额：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868.37万元，其中流动资产324.91万元，非流动资产543.46万元（包括固定资产净值433.46万元，在建工程110万元）。固定资产原值1200.2万元，固定资产其中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房屋和建筑物购建固定资产期末原值630.33万元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，办公用房面积927平方米，业务用房面积4980平方米，其它用房面积372.25平方米。车辆账面数量4台，账面原价值57.63万元，公车改革执法执勤业务用车保留5台，其中一台还未从消协账划入。</w:t>
      </w:r>
      <w:r>
        <w:rPr>
          <w:rFonts w:hint="eastAsia" w:ascii="仿宋_GB2312" w:eastAsia="仿宋_GB2312"/>
          <w:sz w:val="32"/>
          <w:szCs w:val="32"/>
        </w:rPr>
        <w:t>人均办公使用面积1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0.78</w:t>
      </w:r>
      <w:r>
        <w:rPr>
          <w:rFonts w:hint="eastAsia" w:ascii="仿宋_GB2312" w:eastAsia="仿宋_GB2312"/>
          <w:sz w:val="32"/>
          <w:szCs w:val="32"/>
        </w:rPr>
        <w:t>平方米，人车比例每1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人一台车。</w:t>
      </w:r>
    </w:p>
    <w:p>
      <w:pPr>
        <w:ind w:firstLine="709"/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“三公”经费控制情况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三公</w:t>
      </w:r>
      <w:r>
        <w:rPr>
          <w:rFonts w:hint="default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经费2020年决算总额数19万元,年初预算数28.5万元,完成预算数66.67%。其中公务接待决算数5.13万元,年初预算数8.5万元,完成预算数60.35%。公务用车运行维护决算数13.87万元，年初预算数20万元,完成预算数69.35%。</w:t>
      </w:r>
    </w:p>
    <w:p>
      <w:pPr>
        <w:pStyle w:val="10"/>
        <w:ind w:firstLine="640" w:firstLineChars="200"/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上年三公经费决算数总额是13.19万元,比上年同期增加5.81万元,比上年同期增长44.05%,其中公务接待上年决算数4.14万元,比上年同期增加0.99万元,比上年同期增长23.91%。公务接待增加的原因是创建示范县增加市县学习交流，物价上涨增加接待成本，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财政紧张压缩支出，还是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严格按照中央八项规定厉行节约,控制接待范围、规格、标准和人数等。公务用车运行维护费上年决算数9.05万元,比上年同期增加4.82万元，比上年同期增长53.26%，增加原因是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车辆配置低且性能差耗油量大，大大增加油费、修理和维护费用成本。各项业务工作配合食安示范县创建工作，开展全县食品、餐饮店日常巡查增加了执勤车辆使用频率。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二、部门（单位）整体支出绩效状况</w:t>
      </w:r>
    </w:p>
    <w:p>
      <w:pPr>
        <w:spacing w:line="640" w:lineRule="exact"/>
        <w:ind w:firstLine="960" w:firstLineChars="300"/>
        <w:rPr>
          <w:rFonts w:hint="eastAsia" w:ascii="仿宋_GB2312" w:eastAsia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市局和县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政府的正确领导下，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认真学习贯彻习近平新时代中国特色社会主义思想，按照国家、省委省政府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和县委县政府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统一部署，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进一步放宽市场准入，提升服务效能，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监督执法，突出保障食品药品、特种设备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产品质量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安全、打击假冒伪劣、保护消费者合法权益和维护公平交易市场秩序等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保市场主体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保民生保稳定工作。</w:t>
      </w:r>
      <w:r>
        <w:rPr>
          <w:rFonts w:hint="eastAsia" w:ascii="仿宋_GB2312" w:eastAsia="仿宋_GB2312"/>
          <w:b w:val="0"/>
          <w:bCs/>
          <w:sz w:val="32"/>
          <w:szCs w:val="32"/>
          <w:shd w:val="clear" w:color="auto" w:fill="FFFFFF"/>
        </w:rPr>
        <w:t>根据《部门整体支出绩效评价指标》评分表自评得分</w:t>
      </w:r>
      <w:r>
        <w:rPr>
          <w:rFonts w:hint="eastAsia" w:ascii="仿宋_GB2312" w:eastAsia="仿宋_GB2312"/>
          <w:b w:val="0"/>
          <w:bCs/>
          <w:sz w:val="32"/>
          <w:szCs w:val="32"/>
          <w:shd w:val="clear" w:color="auto" w:fill="FFFFFF"/>
          <w:lang w:val="en-US" w:eastAsia="zh-CN"/>
        </w:rPr>
        <w:t>97</w:t>
      </w:r>
      <w:r>
        <w:rPr>
          <w:rFonts w:hint="eastAsia" w:ascii="仿宋_GB2312" w:eastAsia="仿宋_GB2312"/>
          <w:b w:val="0"/>
          <w:bCs/>
          <w:sz w:val="32"/>
          <w:szCs w:val="32"/>
          <w:shd w:val="clear" w:color="auto" w:fill="FFFFFF"/>
        </w:rPr>
        <w:t>分，财政支出绩效为</w:t>
      </w:r>
      <w:r>
        <w:rPr>
          <w:rFonts w:hint="eastAsia" w:ascii="仿宋_GB2312" w:eastAsia="仿宋_GB2312"/>
          <w:b w:val="0"/>
          <w:bCs/>
          <w:sz w:val="32"/>
          <w:szCs w:val="32"/>
          <w:shd w:val="clear" w:color="auto" w:fill="FFFFFF"/>
          <w:lang w:eastAsia="zh-CN"/>
        </w:rPr>
        <w:t>优秀</w:t>
      </w:r>
      <w:r>
        <w:rPr>
          <w:rFonts w:hint="eastAsia" w:ascii="仿宋_GB2312" w:eastAsia="仿宋_GB2312"/>
          <w:b w:val="0"/>
          <w:bCs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仿宋_GB2312" w:eastAsia="仿宋_GB2312"/>
          <w:kern w:val="0"/>
          <w:sz w:val="32"/>
          <w:szCs w:val="32"/>
        </w:rPr>
        <w:t>年度财政支出所取得的实际绩效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（一）深入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推进商事制度改革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优化营商环境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落实“资本认缴制”“先照后证”“一照多址”“多证合一、一照一码”“最多跑一次”改革，推进企业登记全程电子化，进一步压缩企业开办时间，企业注册登记时间缩短至2个工作日。推进“政银合作”，将服务延伸拓展到银行网点窗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县新登记市场主体1518户，同比增长14.14%（其中企业303家，同比增长23.61%；个体1215家，同比增长9.75%），办理食品经营许可证452户，办结全程电子化企业登记业务875家。全县市场主体共有13601户，注册资金861725万元，实有从业人员33212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（二）强化安全监管，维护了社会稳定。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食品安全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以食品安全示范县创建推动食品安全工作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开展创建省级食品安全示范县、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毒蘑菇中毒防控等宣传工作，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年发放宣传资料10万余份。扎实开展“护源”“护苗”“护老”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食品安全风险大排查大整治百日行动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“元旦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春节”、“五一”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中秋”“国庆”等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重点时段食品安全整治工作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共出动执法人员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000多人次，检查食品生产经营户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50余户次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完成食品及食用农产品监督抽检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批次，其中合格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批次，合格率为9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对16批次不合格产品进行了核查处置。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二是强化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药械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安全监管。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强化日常监管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开展药械零售企业防疫药品、医疗器械的质量的监督检查，严厉查处制售假劣药品、医疗器械违法违规行为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出动执法人员227人次，检查药品医疗器械经营、使用单位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44户次，发布药品医疗器械消费警示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共评价上报药品不良反应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医疗器械不良事件报告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；核发药械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许可52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备案40家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家次。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今年未发生一起系统性、源发性、区域性食品药品安全事故。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三是强化特种设备安全监管。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特种设备安全专业委员会议，加强部门联动；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开展特种设备安全责任保险工作，全县26家电梯使用单位127台电梯购买了电梯安全责任保险，参保率达73.4%；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深入开展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两节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两会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安全大检查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“年关守护”、“隐患集中治理”、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重点工程建设工地特种设备安全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、快开门式压力容器安全隐患专项排查治理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等安全专项整治行动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共检查特种设备相关单位127家（次），出动执法人员 462人（次），抽查各类特种设备386台，下达《特种设备安全监察指令书》20份，发现安全隐患63项。按照“一单四制”下达交办单6份。查封特种设备7台，立案调查20起。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强化市场监管执法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规范了市场秩序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一是强化企业信用监管。二是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强化反垄断和反不正当竞争执法。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是强化市场专项整治和执法。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是强化消费维权保护。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五是开展打击市场销售长江流域非法捕捞渔获物专项行动。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六是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依法行政能力有所提高。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对县城境内10个会销场所开展检查，督促开办方做好“防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疫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”措施，严格执行“会议营销十四不准”，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检查“完美”、“无限极”、“国珍”的直销网点5家，暂未发现有违规行为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，与公安部门合力妥善处置群众舆情大的“东望集团鑫鑫课堂”涉嫌传销活动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。受理各类信息共计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件，其中消费咨询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件、投诉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为消费者挽回经济损失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万余元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长江禁捕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宣传资料20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共出动执法人员9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人次，检查农贸市场、超市、餐饮单位等经营户12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8家次，清查渔具店和水产经营户3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5家次，监测电商平台40个次，对电商平台开展行政指导12个次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下达责令改正通知书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责令下架味芝元洞庭湖野生鱼排、鱼尾共计755袋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维护了长江流域生态环境安全。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全局立案53起，涉及食品流通生产，商标侵权、违法广告、产品质量、特种设备、药品医疗器械、价格违法等多类型案件，已办结46起，其中涉刑移送公安2起，罚没款共计41.59万元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。通过案件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查办，有力地打击了违法行为，维护了市场正常秩序。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推进质量发展工作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是着力夯实质量技术基础。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完成产商品检验检测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个批次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合格率100%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检定计量器具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台件。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开展对辖区内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检验检测机构的核查，确保本县重要的检验检测机构依法依规，规范运行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强化知识产权创造运用。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完成发明专利申请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90件，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申报高新企业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加强专利行政执法，维权意识不断增强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老蔡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食品有限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公司和银龙新能源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有限公司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分别专利质押贷款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三是加强品牌建设。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申请注册商标，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有效注册商标总量达到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成为全国唯一荣获“中国重要农业文化遗产”、“国家地理标志产品保护”、“国家地理标志证明商标”三块国家级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牌子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的农业品牌。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三是重抓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质量管理工作。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以源头抓质量为根本，以培育名优产品为重点全面开展质量管理工作，促进了全县企业整体质量水平的提高。全县工业产品质量合格率达到了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五）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扎实推进疫情防控工作。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出动执法人员约49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0人次，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检查市场主体40253户次，巡查餐饮单位及医院等单位食堂25808家（次）。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严防死守重点领域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重抓冷链食品，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农贸市场、商场超市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重点场所餐饮、食品的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疫情防控措施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。切实维护市场价格秩序，确保口罩等防控物资、重要民生商品价格稳定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TW"/>
        </w:rPr>
        <w:t>开辟绿色服务通道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/>
        </w:rPr>
        <w:t>简化优化政务服务工作，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建立24小时网上申报业务通道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加快企业复产行政审批速度，办理动产抵押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起，促进中小型企业融资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936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.1万元，为企业快速复工复产注入活力。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落实全面从严治党。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党的建设。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二是深入贯彻落实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意识形态工作责任制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决战脱贫攻坚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扎实开展扫黑除恶专项斗争。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三、存在的问题及原因</w:t>
      </w:r>
    </w:p>
    <w:p>
      <w:pPr>
        <w:widowControl/>
        <w:ind w:firstLine="627" w:firstLineChars="196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津补贴标准调整、人员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工资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结构变化如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新招录用人员、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提前退休人员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、正式退休人员的增减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的发放。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/>
        </w:rPr>
        <w:t>2、特殊时期特定业务事务增变，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加强管理相关专项业务监管相应增加相关专项业务支出。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3、财政资金困难，预算难以得到有效执行。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（二）固定资产管理水平有待提高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固定资产台账未及时与账面资产金额对账，且未与实物进行清点，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eastAsia="zh-CN"/>
        </w:rPr>
        <w:t>车辆及办公设备等固定资产未及时申报处置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导致年末资产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eastAsia="zh-CN"/>
        </w:rPr>
        <w:t>实物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与账面资产金额存在差异，固定资产管理有待加强。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四、提高财政资金绩效的措施与建议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（一）规范账务处理，提高财务信息质量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严格按照《会计法》、《行政单位会计制度》、《行政单位财务规则》等规定执行财务核算，并结合实际情况，完整、准确地披露相关信息，尽可能地做到决算与预算相衔接。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（二）完善管理制度，进一步加强资产管理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 进一步贯彻落实中央八项规定和湖南省委“九条规定”，建立本部门“三公经费”等公务支出管理制度及厉行节约制度，加强经费审批和控制，规范支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出标准与范围，并严格执行。严格按照《固定资产管理办法》的规定加强固定资产管理，及时登记、更新台账，加强资产卡片管理，年终前对各类实物资产进行全面盘点，确保账账、账实相符。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（三）加强新行政单位会计制度和新预算法学习培训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360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加强新《预算法》、《行政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hAnsi="仿宋_GB2312" w:eastAsia="仿宋_GB2312"/>
          <w:kern w:val="0"/>
          <w:sz w:val="32"/>
          <w:szCs w:val="32"/>
        </w:rPr>
        <w:t>五、附件（佐证依据</w:t>
      </w:r>
      <w:r>
        <w:rPr>
          <w:rFonts w:hint="eastAsia" w:ascii="宋体" w:hAnsi="宋体" w:cs="宋体"/>
          <w:kern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hAnsi="仿宋_GB2312" w:eastAsia="仿宋_GB2312"/>
          <w:kern w:val="0"/>
          <w:sz w:val="32"/>
          <w:szCs w:val="32"/>
        </w:rPr>
        <w:t>部门认为需要作为评价报告附件的有关文件、资料等，以进一步解释和证明报告所反映的相关内容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</w:t>
      </w:r>
    </w:p>
    <w:p>
      <w:pPr>
        <w:spacing w:line="560" w:lineRule="exact"/>
        <w:ind w:firstLine="4800" w:firstLineChars="150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hAnsi="仿宋_GB2312" w:eastAsia="仿宋_GB2312"/>
          <w:kern w:val="0"/>
          <w:sz w:val="32"/>
          <w:szCs w:val="32"/>
        </w:rPr>
        <w:t>部门（签章</w:t>
      </w:r>
      <w:r>
        <w:rPr>
          <w:rFonts w:hint="eastAsia" w:ascii="宋体" w:hAnsi="宋体" w:cs="宋体"/>
          <w:kern w:val="0"/>
          <w:sz w:val="32"/>
          <w:szCs w:val="32"/>
        </w:rPr>
        <w:t>）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</w:t>
      </w:r>
    </w:p>
    <w:p>
      <w:pPr>
        <w:ind w:firstLine="4480" w:firstLineChars="1400"/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 xml:space="preserve">2021 </w:t>
      </w:r>
      <w:r>
        <w:rPr>
          <w:rFonts w:ascii="仿宋_GB2312" w:hAns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814" w:right="1800" w:bottom="18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59D"/>
    <w:rsid w:val="00062F28"/>
    <w:rsid w:val="0067659D"/>
    <w:rsid w:val="044C74A8"/>
    <w:rsid w:val="04640C16"/>
    <w:rsid w:val="055862FD"/>
    <w:rsid w:val="09C25C85"/>
    <w:rsid w:val="10726168"/>
    <w:rsid w:val="15A840DD"/>
    <w:rsid w:val="19EF187A"/>
    <w:rsid w:val="1AAE3EB4"/>
    <w:rsid w:val="1AE50B0A"/>
    <w:rsid w:val="1C45180D"/>
    <w:rsid w:val="29540BA0"/>
    <w:rsid w:val="394F2BB5"/>
    <w:rsid w:val="39562630"/>
    <w:rsid w:val="39AB12FC"/>
    <w:rsid w:val="3A6C45F5"/>
    <w:rsid w:val="465F7EE2"/>
    <w:rsid w:val="4B0D10B6"/>
    <w:rsid w:val="4DD62CB9"/>
    <w:rsid w:val="4EB470DE"/>
    <w:rsid w:val="52A50550"/>
    <w:rsid w:val="52BC4C9B"/>
    <w:rsid w:val="59824B5B"/>
    <w:rsid w:val="5C0A4CD9"/>
    <w:rsid w:val="5C9E6242"/>
    <w:rsid w:val="5E7728FF"/>
    <w:rsid w:val="606574A4"/>
    <w:rsid w:val="61E837C7"/>
    <w:rsid w:val="66980B1F"/>
    <w:rsid w:val="6B532D51"/>
    <w:rsid w:val="6DE429CE"/>
    <w:rsid w:val="7CB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99"/>
    <w:pPr>
      <w:pBdr>
        <w:top w:val="none" w:color="auto" w:sz="0" w:space="0"/>
      </w:pBdr>
      <w:adjustRightInd/>
      <w:spacing w:line="300" w:lineRule="auto"/>
      <w:ind w:firstLine="560" w:firstLineChars="200"/>
      <w:textAlignment w:val="auto"/>
    </w:pPr>
    <w:rPr>
      <w:rFonts w:ascii="Times New Roman" w:hAnsi="Times New Roman" w:eastAsia="宋体" w:cs="Times New Roman"/>
      <w:kern w:val="2"/>
      <w:sz w:val="28"/>
      <w:szCs w:val="2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16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2021-08-27T01:21:00Z</dcterms:created>
  <dc:creator>Administrator</dc:creator>
  <cp:lastModifiedBy>Administrator</cp:lastModifiedBy>
  <dcterms:modified xsi:type="dcterms:W3CDTF">2022-03-16T09:20:23Z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22E81277B2204135B0974FB4DA47C2F0</vt:lpwstr>
  </property>
</Properties>
</file>