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w w:val="85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w w:val="85"/>
          <w:kern w:val="0"/>
          <w:sz w:val="44"/>
          <w:szCs w:val="44"/>
        </w:rPr>
        <w:t> 20</w:t>
      </w:r>
      <w:r>
        <w:rPr>
          <w:rFonts w:hint="eastAsia" w:ascii="黑体" w:hAnsi="黑体" w:eastAsia="黑体" w:cs="黑体"/>
          <w:b/>
          <w:bCs/>
          <w:w w:val="85"/>
          <w:kern w:val="0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w w:val="85"/>
          <w:kern w:val="0"/>
          <w:sz w:val="44"/>
          <w:szCs w:val="44"/>
        </w:rPr>
        <w:t>年度新晃侗族自治县</w:t>
      </w:r>
      <w:r>
        <w:rPr>
          <w:rFonts w:hint="eastAsia" w:ascii="黑体" w:hAnsi="黑体" w:eastAsia="黑体" w:cs="黑体"/>
          <w:b/>
          <w:bCs/>
          <w:w w:val="85"/>
          <w:kern w:val="0"/>
          <w:sz w:val="44"/>
          <w:szCs w:val="44"/>
          <w:lang w:val="en-US" w:eastAsia="zh-CN"/>
        </w:rPr>
        <w:t>市场监督管理局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w w:val="85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w w:val="85"/>
          <w:kern w:val="0"/>
          <w:sz w:val="44"/>
          <w:szCs w:val="44"/>
        </w:rPr>
        <w:t>财政支出项目自评报告</w:t>
      </w:r>
    </w:p>
    <w:p>
      <w:pPr>
        <w:spacing w:line="600" w:lineRule="exact"/>
        <w:jc w:val="center"/>
        <w:rPr>
          <w:rFonts w:eastAsia="方正粗宋简体"/>
          <w:w w:val="85"/>
          <w:kern w:val="0"/>
          <w:sz w:val="36"/>
          <w:szCs w:val="36"/>
        </w:rPr>
      </w:pPr>
      <w:r>
        <w:rPr>
          <w:rFonts w:hAnsi="方正粗宋简体" w:eastAsia="方正粗宋简体"/>
          <w:w w:val="85"/>
          <w:kern w:val="0"/>
          <w:sz w:val="36"/>
          <w:szCs w:val="36"/>
        </w:rPr>
        <w:t>（</w:t>
      </w:r>
      <w:r>
        <w:rPr>
          <w:rFonts w:hint="eastAsia" w:ascii="仿宋_GB2312" w:hAnsi="宋体" w:eastAsia="仿宋_GB2312"/>
          <w:sz w:val="36"/>
          <w:szCs w:val="36"/>
        </w:rPr>
        <w:t>乡镇市场监管所工作经费</w:t>
      </w:r>
      <w:r>
        <w:rPr>
          <w:rFonts w:hAnsi="方正粗宋简体" w:eastAsia="方正粗宋简体"/>
          <w:w w:val="85"/>
          <w:kern w:val="0"/>
          <w:sz w:val="36"/>
          <w:szCs w:val="36"/>
        </w:rPr>
        <w:t>）</w:t>
      </w:r>
    </w:p>
    <w:p>
      <w:pPr>
        <w:pStyle w:val="4"/>
        <w:widowControl w:val="0"/>
        <w:spacing w:before="0" w:beforeAutospacing="0" w:after="0" w:afterAutospacing="0" w:line="600" w:lineRule="exact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4"/>
        <w:widowControl w:val="0"/>
        <w:spacing w:before="0" w:beforeAutospacing="0" w:after="0" w:afterAutospacing="0" w:line="600" w:lineRule="exact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一、项目概况</w:t>
      </w: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（一）项目基本情况：</w:t>
      </w: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项目名称：乡镇市场监管所工作经费</w:t>
      </w: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项目单位职能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：乡镇所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0"/>
          <w:szCs w:val="30"/>
        </w:rPr>
        <w:t>承担行政管辖区域内市场主体准入、食品药品监管、消费者权益保障、质量标准化计量特种设备监管、行政执法、负责保护知识产权等职能，为乡镇市场经济的稳步发展做好监管和服务工作。</w:t>
      </w: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项目实施计划及主要内容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每个乡镇安排2万元工作经费,共计安排乡镇所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日常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工作经费22万元/年度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pStyle w:val="4"/>
        <w:widowControl w:val="0"/>
        <w:numPr>
          <w:ilvl w:val="0"/>
          <w:numId w:val="1"/>
        </w:numPr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项目预算情况：</w:t>
      </w:r>
    </w:p>
    <w:p>
      <w:pPr>
        <w:pStyle w:val="4"/>
        <w:widowControl w:val="0"/>
        <w:numPr>
          <w:ilvl w:val="0"/>
          <w:numId w:val="0"/>
        </w:numPr>
        <w:spacing w:before="0" w:beforeAutospacing="0" w:after="0" w:afterAutospacing="0"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安排乡镇所工作经费22万元/年度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二、项目决策及资金使用管理情况</w:t>
      </w: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（一）项目决策情况：根据县人民政府常务会议纪要第四期(2016年6月8日)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（二）项目预算执行情况：按每乡镇2人的标准配齐基层站所人员,11个乡镇所,每个乡镇安排2万元工作经费,共计安排乡镇所工作经费22万元/年度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,2020年乡镇所实际支出33.27万元。</w:t>
      </w: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（三）项目资金实际使用情况：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收到财政专项资金22万元，已全部支付用于乡镇所日常工作，2020年乡镇所实际支出33.27万元。其中乡镇所办公费6.77万元，印刷费0.1万元，办公用水费0.52万元，办公用电费0.51万元，邮电费3.9万元，差旅费9.24万元，维修费0.76万元，租赁费0.39万元，培训费0.07万元，宣传费1.27万元，食堂福利3.15万元，公务车辆运行费2.31万元，其他交通费0.17万元，其他商品服务支出0.5万元，办公设备购置0.31万元，办公楼修缮费3.3万元。</w:t>
      </w: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（四）项目资金管理情况：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项目资金严格执行专款专用规定，建立专账管理，按专项工作设置支出明细台账，按月及时结算记账，会计核算规范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三、项目组织实施情况</w:t>
      </w: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（一）项目组织机构与职责落实情况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乡镇所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局机关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工作要求，认真组织扎实开展各项专项执法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及日常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工作，在市场秩序中的薄弱环节、突出问题等存在的安全隐患，通过现场整改、责令整改和罚没收等手段和教育相结合有效地消除了隐患，提供了良好的市场秩序氛围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切实保护了消费者的合法利益。</w:t>
      </w: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（二）项目管理制度建设情况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经费支出严格执行财务开支范围及开支标准，经费使用支出实行严格审批，由主管会计审核，必须有经手人，主要负责人、乡镇所分管领导、财务分管领导签字，由国库统一报账，确保资金专款专用，安全高效。</w:t>
      </w: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（三）项目组织管理落实情况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全面落实“先照后证”“多证合一、一照一码”“最多跑一次”改革</w:t>
      </w:r>
      <w:r>
        <w:rPr>
          <w:rFonts w:hint="eastAsia" w:ascii="仿宋_GB2312" w:hAnsi="仿宋_GB2312" w:eastAsia="仿宋_GB2312" w:cs="仿宋_GB2312"/>
          <w:sz w:val="30"/>
          <w:szCs w:val="30"/>
        </w:rPr>
        <w:t>营业执照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改革。办理</w:t>
      </w:r>
      <w:r>
        <w:rPr>
          <w:rFonts w:hint="eastAsia" w:ascii="仿宋_GB2312" w:hAnsi="仿宋_GB2312" w:eastAsia="仿宋_GB2312" w:cs="仿宋_GB2312"/>
          <w:sz w:val="30"/>
          <w:szCs w:val="30"/>
        </w:rPr>
        <w:t>食品经营许可证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0"/>
          <w:szCs w:val="30"/>
        </w:rPr>
        <w:t>现场核查和现场指导。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2.强化安全监管。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食品安全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监管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0"/>
          <w:szCs w:val="30"/>
        </w:rPr>
        <w:t>以食品安全示范县创建推动食品安全工作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开展创建省级食品安全示范县、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毒蘑菇中毒防控等宣传工作，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发放宣传资料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万余份。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扎实开展“护源”“护苗”“护老”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食品安全风险大排查大整治百日行动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专项行动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“元旦春节”、“五一”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两会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”“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中秋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”“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国庆”等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重点时段食品安全整治工作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二是强化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药械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安全监管。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强化日常监管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开展了药品经营领域突出问题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违法违规医疗器械经营使用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疫苗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中药饮片等专项整治工作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3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32"/>
          <w:sz w:val="30"/>
          <w:szCs w:val="30"/>
          <w14:textFill>
            <w14:solidFill>
              <w14:schemeClr w14:val="tx1"/>
            </w14:solidFill>
          </w14:textFill>
        </w:rPr>
        <w:t>未发生一起系统性、源发性、区域性食品药品安全事故。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三是强化特种设备安全监管。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深入开展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“年关守护”、“隐患集中治理”等安全专项整治行动。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2020年乡镇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市场监管工作未发生一起系统性、源发性、区域性安全事故。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3.强化市场监管执法。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“双随机、一公开”监管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开展打击网络违法、假冒侵权、虚假广告、商标侵权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烟草市场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红盾护农、无照经营、违法合同专项整治行动。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累计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出动执法车辆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311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台次，执法人员共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526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人次，覆盖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11个乡镇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。收缴过期食品、三无产品等共计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余公斤，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立案处罚13起，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各罚款金额共计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9万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有力的打击了各类经济违法行为，维护了市场经济秩序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5" w:rightChars="5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4.强化宣传。在各乡镇开展市场监管宣传活动，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发放食品药品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特种设备、商标广告、禁毒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等相关宣传资料共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8800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余份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对辖区内各类从业人员进行业务培训，共计3150人次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5" w:rightChars="5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5.强化消费维权。各乡镇所2020年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共处理好消费者投诉45余起，直接挽回消费者经济损失12万余元。消费者维权工作及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各项专项整治得到有效地开展，有效地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维护了消费者合法权益同时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遏制了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辖区内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市场秩序中存在的隐患，对危害食品安全违法行为进行了有力的打击，为广大人民群众提供安全放心的消费环境。</w:t>
      </w: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四、项目绩效情况</w:t>
      </w: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通过2020年的工作，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各乡镇所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将以对人民群众高度负责任的态度，继续把市场监管工作抓细、抓实。以人民群众安全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利益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为宗旨，健全监管机制，创新监管手段，提升监管效能，不断总结市场安全工作经验，全面提升市场安全工作质量与水平，确保人民群众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的健康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。继续把保障人民群众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食品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安全作为工作的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核心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，振奋精神，坚定信心，克难攻坚，切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实履行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监督管理职责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　　</w:t>
      </w: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五、其他需要说明的问题</w:t>
      </w: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六、附件</w:t>
      </w:r>
    </w:p>
    <w:p>
      <w:pPr>
        <w:pStyle w:val="4"/>
        <w:widowControl w:val="0"/>
        <w:spacing w:before="0" w:beforeAutospacing="0" w:after="0" w:afterAutospacing="0" w:line="520" w:lineRule="exact"/>
        <w:ind w:firstLine="48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乡镇所日常支出会证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pStyle w:val="4"/>
        <w:widowControl w:val="0"/>
        <w:spacing w:before="0" w:beforeAutospacing="0" w:after="0" w:afterAutospacing="0" w:line="5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 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ind w:firstLine="300" w:firstLineChars="1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项目单位（签）        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日</w:t>
      </w:r>
    </w:p>
    <w:p>
      <w:pPr>
        <w:pStyle w:val="4"/>
        <w:widowControl w:val="0"/>
        <w:spacing w:before="0" w:beforeAutospacing="0" w:after="0" w:afterAutospacing="0" w:line="52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137622"/>
    <w:multiLevelType w:val="singleLevel"/>
    <w:tmpl w:val="B313762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DF"/>
    <w:rsid w:val="0021164D"/>
    <w:rsid w:val="007E7EDF"/>
    <w:rsid w:val="03370663"/>
    <w:rsid w:val="09314643"/>
    <w:rsid w:val="0A1F59EA"/>
    <w:rsid w:val="0F7748DB"/>
    <w:rsid w:val="11AE4D7A"/>
    <w:rsid w:val="1D4B1FDF"/>
    <w:rsid w:val="20C232AD"/>
    <w:rsid w:val="22FF058E"/>
    <w:rsid w:val="24DC3814"/>
    <w:rsid w:val="29F90CF0"/>
    <w:rsid w:val="2A633223"/>
    <w:rsid w:val="2AD50E67"/>
    <w:rsid w:val="2B2E3206"/>
    <w:rsid w:val="2B7B7A73"/>
    <w:rsid w:val="3D4D0B68"/>
    <w:rsid w:val="403E10A5"/>
    <w:rsid w:val="40FD7BFD"/>
    <w:rsid w:val="4CD75C52"/>
    <w:rsid w:val="4D5214DF"/>
    <w:rsid w:val="54AD677F"/>
    <w:rsid w:val="61627C95"/>
    <w:rsid w:val="63FD79B0"/>
    <w:rsid w:val="70527C61"/>
    <w:rsid w:val="7D7E0064"/>
    <w:rsid w:val="7DC5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</Words>
  <Characters>827</Characters>
  <Lines>6</Lines>
  <Paragraphs>1</Paragraphs>
  <TotalTime>11</TotalTime>
  <ScaleCrop>false</ScaleCrop>
  <LinksUpToDate>false</LinksUpToDate>
  <CharactersWithSpaces>970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2020-09-15T07:30:00Z</dcterms:created>
  <dc:creator>Administrator</dc:creator>
  <cp:lastModifiedBy>Administrator</cp:lastModifiedBy>
  <cp:lastPrinted>2020-10-13T09:15:00Z</cp:lastPrinted>
  <dcterms:modified xsi:type="dcterms:W3CDTF">2021-09-06T09:39:44Z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C72CB85355AC4BC4B5F9751B340486CF</vt:lpwstr>
  </property>
</Properties>
</file>