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54C4D">
      <w:pPr>
        <w:pStyle w:val="4"/>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大标宋_GBK" w:hAnsi="方正大标宋_GBK" w:eastAsia="方正大标宋_GBK" w:cs="方正大标宋_GBK"/>
          <w:b w:val="0"/>
          <w:bCs/>
          <w:sz w:val="44"/>
          <w:szCs w:val="44"/>
          <w:lang w:val="en-US" w:eastAsia="zh-CN"/>
        </w:rPr>
      </w:pPr>
      <w:r>
        <w:rPr>
          <w:rFonts w:hint="eastAsia" w:ascii="方正大标宋_GBK" w:hAnsi="方正大标宋_GBK" w:eastAsia="方正大标宋_GBK" w:cs="方正大标宋_GBK"/>
          <w:b w:val="0"/>
          <w:bCs/>
          <w:sz w:val="44"/>
          <w:szCs w:val="44"/>
          <w:lang w:val="en-US" w:eastAsia="zh-CN"/>
        </w:rPr>
        <w:t>新晃侗族自治县应急管理局</w:t>
      </w:r>
    </w:p>
    <w:p w14:paraId="614C19FA">
      <w:pPr>
        <w:pStyle w:val="4"/>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方正大标宋_GBK" w:hAnsi="方正大标宋_GBK" w:eastAsia="方正大标宋_GBK" w:cs="方正大标宋_GBK"/>
          <w:b w:val="0"/>
          <w:bCs/>
          <w:sz w:val="44"/>
          <w:szCs w:val="44"/>
        </w:rPr>
      </w:pPr>
      <w:r>
        <w:rPr>
          <w:rFonts w:hint="eastAsia" w:ascii="方正大标宋_GBK" w:hAnsi="方正大标宋_GBK" w:eastAsia="方正大标宋_GBK" w:cs="方正大标宋_GBK"/>
          <w:b w:val="0"/>
          <w:bCs/>
          <w:sz w:val="44"/>
          <w:szCs w:val="44"/>
        </w:rPr>
        <w:t>关于</w:t>
      </w:r>
      <w:r>
        <w:rPr>
          <w:rFonts w:hint="eastAsia" w:ascii="方正大标宋_GBK" w:hAnsi="方正大标宋_GBK" w:eastAsia="方正大标宋_GBK" w:cs="方正大标宋_GBK"/>
          <w:sz w:val="44"/>
          <w:szCs w:val="44"/>
        </w:rPr>
        <w:t>202</w:t>
      </w:r>
      <w:r>
        <w:rPr>
          <w:rFonts w:hint="eastAsia" w:ascii="方正大标宋_GBK" w:hAnsi="方正大标宋_GBK" w:eastAsia="方正大标宋_GBK" w:cs="方正大标宋_GBK"/>
          <w:sz w:val="44"/>
          <w:szCs w:val="44"/>
          <w:lang w:val="en-US" w:eastAsia="zh-CN"/>
        </w:rPr>
        <w:t>3</w:t>
      </w:r>
      <w:r>
        <w:rPr>
          <w:rFonts w:hint="eastAsia" w:ascii="方正大标宋_GBK" w:hAnsi="方正大标宋_GBK" w:eastAsia="方正大标宋_GBK" w:cs="方正大标宋_GBK"/>
          <w:b w:val="0"/>
          <w:bCs/>
          <w:sz w:val="44"/>
          <w:szCs w:val="44"/>
        </w:rPr>
        <w:t>年度</w:t>
      </w:r>
      <w:r>
        <w:rPr>
          <w:rFonts w:hint="eastAsia" w:ascii="方正大标宋_GBK" w:hAnsi="方正大标宋_GBK" w:eastAsia="方正大标宋_GBK" w:cs="方正大标宋_GBK"/>
          <w:b w:val="0"/>
          <w:bCs/>
          <w:sz w:val="44"/>
          <w:szCs w:val="44"/>
          <w:lang w:val="en-US" w:eastAsia="zh-CN"/>
        </w:rPr>
        <w:t>预</w:t>
      </w:r>
      <w:r>
        <w:rPr>
          <w:rFonts w:hint="eastAsia" w:ascii="方正大标宋_GBK" w:hAnsi="方正大标宋_GBK" w:eastAsia="方正大标宋_GBK" w:cs="方正大标宋_GBK"/>
          <w:b w:val="0"/>
          <w:bCs/>
          <w:sz w:val="44"/>
          <w:szCs w:val="44"/>
        </w:rPr>
        <w:t>算绩效情况的说明</w:t>
      </w:r>
    </w:p>
    <w:p w14:paraId="257D9EB6">
      <w:pPr>
        <w:rPr>
          <w:sz w:val="32"/>
          <w:szCs w:val="32"/>
        </w:rPr>
      </w:pPr>
    </w:p>
    <w:p w14:paraId="4B9CD697">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绩效管理工作开展情况</w:t>
      </w:r>
    </w:p>
    <w:p w14:paraId="67E137C5">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3" w:firstLineChars="200"/>
        <w:jc w:val="left"/>
        <w:textAlignment w:val="auto"/>
        <w:rPr>
          <w:rFonts w:hint="default" w:ascii="楷体" w:hAnsi="楷体" w:eastAsia="楷体" w:cs="楷体"/>
          <w:b/>
          <w:bCs/>
          <w:sz w:val="32"/>
          <w:szCs w:val="32"/>
          <w:lang w:val="en-US" w:eastAsia="zh-CN"/>
        </w:rPr>
      </w:pPr>
      <w:r>
        <w:rPr>
          <w:rFonts w:hint="eastAsia" w:hAnsi="黑体" w:cs="黑体"/>
          <w:b/>
          <w:bCs/>
          <w:sz w:val="32"/>
          <w:szCs w:val="32"/>
          <w:lang w:val="en-US" w:eastAsia="zh-CN"/>
        </w:rPr>
        <w:t xml:space="preserve">    </w:t>
      </w:r>
      <w:r>
        <w:rPr>
          <w:rFonts w:hint="eastAsia" w:ascii="仿宋_GB2312" w:hAnsi="仿宋_GB2312" w:eastAsia="仿宋_GB2312" w:cs="仿宋_GB2312"/>
          <w:b w:val="0"/>
          <w:bCs w:val="0"/>
          <w:sz w:val="32"/>
          <w:szCs w:val="32"/>
          <w:lang w:val="en-US" w:eastAsia="zh-CN"/>
        </w:rPr>
        <w:t>根据新晃侗族自治县财政局《关于批复2023年度部门决算的通知》文件精神，我局财务人员按照要求认真开展数据核对，填报部门概况信息，针对部门的职能职责、机构设置及决算单位构成的内容逐项填写，预算绩效工作有序进行。</w:t>
      </w:r>
    </w:p>
    <w:p w14:paraId="0157170E">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黑体" w:hAnsi="黑体" w:eastAsia="黑体" w:cs="黑体"/>
          <w:b/>
          <w:bCs/>
          <w:sz w:val="32"/>
          <w:szCs w:val="32"/>
        </w:rPr>
      </w:pPr>
      <w:r>
        <w:rPr>
          <w:rFonts w:hint="eastAsia" w:ascii="黑体" w:hAnsi="黑体" w:eastAsia="黑体" w:cs="黑体"/>
          <w:b/>
          <w:bCs/>
          <w:sz w:val="32"/>
          <w:szCs w:val="32"/>
          <w:lang w:val="en-US" w:eastAsia="zh-CN"/>
        </w:rPr>
        <w:t>二、</w:t>
      </w:r>
      <w:r>
        <w:rPr>
          <w:rFonts w:hint="eastAsia" w:ascii="黑体" w:hAnsi="黑体" w:eastAsia="黑体" w:cs="黑体"/>
          <w:b/>
          <w:bCs/>
          <w:sz w:val="32"/>
          <w:szCs w:val="32"/>
        </w:rPr>
        <w:t>部门</w:t>
      </w:r>
      <w:r>
        <w:rPr>
          <w:rFonts w:hint="eastAsia" w:ascii="黑体" w:hAnsi="黑体" w:eastAsia="黑体" w:cs="黑体"/>
          <w:b/>
          <w:bCs/>
          <w:sz w:val="32"/>
          <w:szCs w:val="32"/>
          <w:lang w:eastAsia="zh-CN"/>
        </w:rPr>
        <w:t>（单位）</w:t>
      </w:r>
      <w:r>
        <w:rPr>
          <w:rFonts w:hint="eastAsia" w:ascii="黑体" w:hAnsi="黑体" w:eastAsia="黑体" w:cs="黑体"/>
          <w:b/>
          <w:bCs/>
          <w:sz w:val="32"/>
          <w:szCs w:val="32"/>
        </w:rPr>
        <w:t>整体支出绩效情况</w:t>
      </w:r>
    </w:p>
    <w:p w14:paraId="1452140A">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val="en-US" w:eastAsia="zh-CN"/>
        </w:rPr>
        <w:t>(一)2023年</w:t>
      </w:r>
      <w:r>
        <w:rPr>
          <w:rFonts w:hint="eastAsia" w:ascii="楷体_GB2312" w:hAnsi="楷体_GB2312" w:eastAsia="楷体_GB2312" w:cs="楷体_GB2312"/>
          <w:b/>
          <w:bCs/>
          <w:sz w:val="32"/>
          <w:szCs w:val="32"/>
        </w:rPr>
        <w:t>本部门（单位）支出的绩效目标完成情况</w:t>
      </w:r>
      <w:r>
        <w:rPr>
          <w:rFonts w:hint="eastAsia" w:ascii="楷体_GB2312" w:hAnsi="楷体_GB2312" w:eastAsia="楷体_GB2312" w:cs="楷体_GB2312"/>
          <w:b/>
          <w:bCs/>
          <w:sz w:val="32"/>
          <w:szCs w:val="32"/>
          <w:lang w:eastAsia="zh-CN"/>
        </w:rPr>
        <w:t>。</w:t>
      </w:r>
    </w:p>
    <w:p w14:paraId="48DB136B">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本部门支出的</w:t>
      </w:r>
      <w:r>
        <w:rPr>
          <w:rFonts w:hint="eastAsia" w:ascii="仿宋_GB2312" w:hAnsi="仿宋_GB2312" w:eastAsia="仿宋_GB2312" w:cs="仿宋_GB2312"/>
          <w:sz w:val="32"/>
          <w:szCs w:val="32"/>
          <w:lang w:val="en-US" w:eastAsia="zh-CN"/>
        </w:rPr>
        <w:t>决算数为1112.55万元，年初预算数为662.10万元，完成年初预算176.14%。其中：行政运行增加52.98万元，一般行政事务管理增加67.95万元，应急管理比预算数减少125.58万元，其他应急管理支出增加381.39万元，其他消防救援事务支出年初预算为0，实际支出57.69万元。</w:t>
      </w:r>
    </w:p>
    <w:p w14:paraId="65A7AEC5">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rPr>
      </w:pP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lang w:val="en-US" w:eastAsia="zh-CN"/>
        </w:rPr>
        <w:t>二</w:t>
      </w:r>
      <w:r>
        <w:rPr>
          <w:rFonts w:hint="eastAsia" w:ascii="楷体_GB2312" w:hAnsi="楷体_GB2312" w:eastAsia="楷体_GB2312" w:cs="楷体_GB2312"/>
          <w:b/>
          <w:bCs/>
          <w:color w:val="000000"/>
          <w:kern w:val="0"/>
          <w:sz w:val="32"/>
          <w:szCs w:val="32"/>
          <w:lang w:eastAsia="zh-CN"/>
        </w:rPr>
        <w:t>）</w:t>
      </w:r>
      <w:r>
        <w:rPr>
          <w:rFonts w:hint="eastAsia" w:ascii="楷体_GB2312" w:hAnsi="楷体_GB2312" w:eastAsia="楷体_GB2312" w:cs="楷体_GB2312"/>
          <w:b/>
          <w:bCs/>
          <w:color w:val="000000"/>
          <w:kern w:val="0"/>
          <w:sz w:val="32"/>
          <w:szCs w:val="32"/>
        </w:rPr>
        <w:t>项目绩效目标完成情况：</w:t>
      </w:r>
    </w:p>
    <w:p w14:paraId="277953C8">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根据年初设定的绩效目标，整体绩效</w:t>
      </w:r>
      <w:r>
        <w:rPr>
          <w:rFonts w:hint="eastAsia" w:ascii="仿宋_GB2312" w:hAnsi="仿宋_GB2312" w:eastAsia="仿宋_GB2312" w:cs="仿宋_GB2312"/>
          <w:color w:val="000000"/>
          <w:kern w:val="0"/>
          <w:sz w:val="32"/>
          <w:szCs w:val="32"/>
          <w:lang w:eastAsia="zh-CN"/>
        </w:rPr>
        <w:t>自评得分</w:t>
      </w:r>
      <w:r>
        <w:rPr>
          <w:rFonts w:hint="eastAsia" w:ascii="仿宋_GB2312" w:hAnsi="仿宋_GB2312" w:eastAsia="仿宋_GB2312" w:cs="仿宋_GB2312"/>
          <w:color w:val="000000"/>
          <w:kern w:val="0"/>
          <w:sz w:val="32"/>
          <w:szCs w:val="32"/>
          <w:lang w:val="en-US" w:eastAsia="zh-CN"/>
        </w:rPr>
        <w:t>93</w:t>
      </w:r>
      <w:r>
        <w:rPr>
          <w:rFonts w:hint="eastAsia" w:ascii="仿宋_GB2312" w:hAnsi="仿宋_GB2312" w:eastAsia="仿宋_GB2312" w:cs="仿宋_GB2312"/>
          <w:color w:val="000000"/>
          <w:kern w:val="0"/>
          <w:sz w:val="32"/>
          <w:szCs w:val="32"/>
          <w:lang w:eastAsia="zh-CN"/>
        </w:rPr>
        <w:t>分。</w:t>
      </w:r>
      <w:r>
        <w:rPr>
          <w:rFonts w:hint="eastAsia" w:ascii="仿宋_GB2312" w:hAnsi="仿宋_GB2312" w:eastAsia="仿宋_GB2312" w:cs="仿宋_GB2312"/>
          <w:color w:val="000000"/>
          <w:kern w:val="0"/>
          <w:sz w:val="32"/>
          <w:szCs w:val="32"/>
          <w:lang w:val="en-US" w:eastAsia="zh-CN"/>
        </w:rPr>
        <w:t>项目全年预算数为1112.55万元，执行数1112.55万元，完成绩效目标的100%。</w:t>
      </w:r>
    </w:p>
    <w:p w14:paraId="120C380C">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项目绩效完成情况</w:t>
      </w:r>
      <w:r>
        <w:rPr>
          <w:rFonts w:hint="eastAsia" w:ascii="仿宋_GB2312" w:hAnsi="仿宋_GB2312" w:eastAsia="仿宋_GB2312" w:cs="仿宋_GB2312"/>
          <w:b w:val="0"/>
          <w:bCs w:val="0"/>
          <w:sz w:val="32"/>
          <w:szCs w:val="32"/>
          <w:lang w:val="en-US" w:eastAsia="zh-CN"/>
        </w:rPr>
        <w:t>：</w:t>
      </w:r>
    </w:p>
    <w:p w14:paraId="75B5A79C">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default" w:ascii="Times New Roman" w:hAnsi="Times New Roman" w:eastAsia="仿宋_GB2312"/>
          <w:sz w:val="32"/>
          <w:szCs w:val="32"/>
          <w:lang w:val="en-US"/>
        </w:rPr>
      </w:pPr>
      <w:r>
        <w:rPr>
          <w:rFonts w:hint="eastAsia" w:ascii="仿宋_GB2312" w:hAnsi="仿宋_GB2312" w:eastAsia="仿宋_GB2312" w:cs="仿宋_GB2312"/>
          <w:b/>
          <w:bCs/>
          <w:sz w:val="32"/>
          <w:szCs w:val="32"/>
        </w:rPr>
        <w:t>①收入</w:t>
      </w:r>
      <w:r>
        <w:rPr>
          <w:rFonts w:hint="eastAsia" w:ascii="仿宋_GB2312" w:hAnsi="仿宋_GB2312" w:eastAsia="仿宋_GB2312" w:cs="仿宋_GB2312"/>
          <w:b/>
          <w:bCs/>
          <w:sz w:val="32"/>
          <w:szCs w:val="32"/>
          <w:lang w:val="en-US" w:eastAsia="zh-CN"/>
        </w:rPr>
        <w:t>方面</w:t>
      </w:r>
      <w:r>
        <w:rPr>
          <w:rFonts w:hint="eastAsia" w:ascii="仿宋_GB2312" w:hAnsi="仿宋_GB2312" w:eastAsia="仿宋_GB2312" w:cs="仿宋_GB2312"/>
          <w:sz w:val="32"/>
          <w:szCs w:val="32"/>
          <w:lang w:val="en-US" w:eastAsia="zh-CN"/>
        </w:rPr>
        <w:t>：2023年度决算</w:t>
      </w:r>
      <w:r>
        <w:rPr>
          <w:rFonts w:hint="eastAsia" w:ascii="仿宋_GB2312" w:hAnsi="仿宋_GB2312" w:eastAsia="仿宋_GB2312" w:cs="仿宋_GB2312"/>
          <w:sz w:val="32"/>
          <w:szCs w:val="32"/>
        </w:rPr>
        <w:t>数为</w:t>
      </w:r>
      <w:r>
        <w:rPr>
          <w:rFonts w:hint="eastAsia" w:ascii="仿宋_GB2312" w:hAnsi="仿宋_GB2312" w:eastAsia="仿宋_GB2312" w:cs="仿宋_GB2312"/>
          <w:sz w:val="32"/>
          <w:szCs w:val="32"/>
          <w:lang w:val="en-US" w:eastAsia="zh-CN"/>
        </w:rPr>
        <w:t>1112.55</w:t>
      </w:r>
      <w:r>
        <w:rPr>
          <w:rFonts w:hint="eastAsia" w:ascii="仿宋_GB2312" w:hAnsi="仿宋_GB2312" w:eastAsia="仿宋_GB2312" w:cs="仿宋_GB2312"/>
          <w:sz w:val="32"/>
          <w:szCs w:val="32"/>
        </w:rPr>
        <w:t>万元，比年初预算</w:t>
      </w:r>
      <w:r>
        <w:rPr>
          <w:rFonts w:hint="eastAsia" w:ascii="仿宋_GB2312" w:hAnsi="仿宋_GB2312" w:eastAsia="仿宋_GB2312" w:cs="仿宋_GB2312"/>
          <w:sz w:val="32"/>
          <w:szCs w:val="32"/>
          <w:lang w:val="en-US" w:eastAsia="zh-CN"/>
        </w:rPr>
        <w:t>数662.10</w:t>
      </w:r>
      <w:r>
        <w:rPr>
          <w:rFonts w:hint="eastAsia" w:ascii="仿宋_GB2312" w:hAnsi="仿宋_GB2312" w:eastAsia="仿宋_GB2312" w:cs="仿宋_GB2312"/>
          <w:sz w:val="32"/>
          <w:szCs w:val="32"/>
        </w:rPr>
        <w:t>万元增加</w:t>
      </w:r>
      <w:r>
        <w:rPr>
          <w:rFonts w:hint="eastAsia" w:ascii="仿宋_GB2312" w:hAnsi="仿宋_GB2312" w:eastAsia="仿宋_GB2312" w:cs="仿宋_GB2312"/>
          <w:sz w:val="32"/>
          <w:szCs w:val="32"/>
          <w:lang w:val="en-US" w:eastAsia="zh-CN"/>
        </w:rPr>
        <w:t>450.45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增长68.03%。从总体数据分析，行政运行增长16.94%；一般行政事务管理增长126.98%；应急管理下降74.08%；其他应急管理支出增长最大，是年初预算的11.95倍；其他消防救援事务支出年初数为0，实际支出57.69万元，增长100%。</w:t>
      </w:r>
    </w:p>
    <w:p w14:paraId="58AAB3D8">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②支出方面</w:t>
      </w:r>
      <w:r>
        <w:rPr>
          <w:rFonts w:hint="eastAsia" w:ascii="仿宋_GB2312" w:hAnsi="仿宋_GB2312" w:eastAsia="仿宋_GB2312" w:cs="仿宋_GB2312"/>
          <w:b w:val="0"/>
          <w:bCs w:val="0"/>
          <w:color w:val="000000"/>
          <w:kern w:val="0"/>
          <w:sz w:val="32"/>
          <w:szCs w:val="32"/>
          <w:lang w:val="en-US" w:eastAsia="zh-CN"/>
        </w:rPr>
        <w:t>：</w:t>
      </w:r>
      <w:r>
        <w:rPr>
          <w:rFonts w:hint="eastAsia" w:ascii="仿宋_GB2312" w:hAnsi="仿宋_GB2312" w:eastAsia="仿宋_GB2312" w:cs="仿宋_GB2312"/>
          <w:color w:val="000000"/>
          <w:kern w:val="0"/>
          <w:sz w:val="32"/>
          <w:szCs w:val="32"/>
          <w:lang w:val="en-US" w:eastAsia="zh-CN"/>
        </w:rPr>
        <w:t>2023年支出决算数1112.55万：其中：</w:t>
      </w:r>
    </w:p>
    <w:p w14:paraId="64EF068D">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Times New Roman" w:hAnsi="Times New Roman" w:eastAsia="仿宋_GB2312"/>
          <w:sz w:val="32"/>
          <w:szCs w:val="32"/>
        </w:rPr>
      </w:pPr>
      <w:r>
        <w:rPr>
          <w:rFonts w:hint="eastAsia" w:ascii="仿宋_GB2312" w:hAnsi="仿宋_GB2312" w:eastAsia="仿宋_GB2312" w:cs="仿宋_GB2312"/>
          <w:color w:val="000000"/>
          <w:kern w:val="0"/>
          <w:sz w:val="32"/>
          <w:szCs w:val="32"/>
          <w:lang w:val="en-US" w:eastAsia="zh-CN"/>
        </w:rPr>
        <w:t>工资福利支出473.29万元，占总支出的42.54%，商品和服务支出185.78万元，占支出总的16.69%，对个人和家庭的补助17.60万元，占总支出的1.58%，基本性支出1.69万元，占总支出的0.15%，项目支出434.19万元，占支出总的39.03%。</w:t>
      </w:r>
      <w:r>
        <w:rPr>
          <w:rFonts w:hint="eastAsia" w:asciiTheme="minorEastAsia" w:hAnsiTheme="minorEastAsia" w:eastAsiaTheme="minorEastAsia" w:cstheme="minorEastAsia"/>
          <w:sz w:val="32"/>
          <w:szCs w:val="32"/>
          <w:lang w:val="en-US" w:eastAsia="zh-CN"/>
        </w:rPr>
        <w:t xml:space="preserve"> </w:t>
      </w:r>
    </w:p>
    <w:p w14:paraId="3BAE09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left"/>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③年末固定资产总额</w:t>
      </w:r>
      <w:r>
        <w:rPr>
          <w:rFonts w:hint="eastAsia" w:ascii="仿宋_GB2312" w:hAnsi="仿宋_GB2312" w:eastAsia="仿宋_GB2312" w:cs="仿宋_GB2312"/>
          <w:b w:val="0"/>
          <w:bCs w:val="0"/>
          <w:color w:val="000000"/>
          <w:kern w:val="0"/>
          <w:sz w:val="32"/>
          <w:szCs w:val="32"/>
          <w:lang w:val="en-US" w:eastAsia="zh-CN"/>
        </w:rPr>
        <w:t>1491813.01</w:t>
      </w:r>
      <w:bookmarkStart w:id="0" w:name="_GoBack"/>
      <w:bookmarkEnd w:id="0"/>
      <w:r>
        <w:rPr>
          <w:rFonts w:hint="eastAsia" w:ascii="仿宋_GB2312" w:hAnsi="仿宋_GB2312" w:eastAsia="仿宋_GB2312" w:cs="仿宋_GB2312"/>
          <w:b w:val="0"/>
          <w:bCs w:val="0"/>
          <w:color w:val="000000"/>
          <w:kern w:val="0"/>
          <w:sz w:val="32"/>
          <w:szCs w:val="32"/>
          <w:lang w:val="en-US" w:eastAsia="zh-CN"/>
        </w:rPr>
        <w:t>万元</w:t>
      </w:r>
      <w:r>
        <w:rPr>
          <w:rFonts w:hint="eastAsia" w:ascii="仿宋_GB2312" w:hAnsi="仿宋_GB2312" w:eastAsia="仿宋_GB2312" w:cs="仿宋_GB2312"/>
          <w:color w:val="000000"/>
          <w:kern w:val="0"/>
          <w:sz w:val="32"/>
          <w:szCs w:val="32"/>
          <w:lang w:val="en-US" w:eastAsia="zh-CN"/>
        </w:rPr>
        <w:t>：其中：房屋0万元，通用设备</w:t>
      </w:r>
      <w:r>
        <w:rPr>
          <w:rFonts w:hint="eastAsia" w:ascii="仿宋_GB2312" w:hAnsi="仿宋_GB2312" w:eastAsia="仿宋_GB2312" w:cs="仿宋_GB2312"/>
          <w:color w:val="000000"/>
          <w:kern w:val="0"/>
          <w:sz w:val="32"/>
          <w:szCs w:val="32"/>
          <w:u w:val="none"/>
          <w:lang w:val="en-US" w:eastAsia="zh-CN"/>
        </w:rPr>
        <w:t>1280703.01</w:t>
      </w:r>
      <w:r>
        <w:rPr>
          <w:rFonts w:hint="eastAsia" w:ascii="仿宋_GB2312" w:hAnsi="仿宋_GB2312" w:eastAsia="仿宋_GB2312" w:cs="仿宋_GB2312"/>
          <w:color w:val="000000"/>
          <w:kern w:val="0"/>
          <w:sz w:val="32"/>
          <w:szCs w:val="32"/>
          <w:lang w:val="en-US" w:eastAsia="zh-CN"/>
        </w:rPr>
        <w:t>万元，家具和用具</w:t>
      </w:r>
      <w:r>
        <w:rPr>
          <w:rFonts w:hint="eastAsia" w:ascii="仿宋_GB2312" w:hAnsi="仿宋_GB2312" w:eastAsia="仿宋_GB2312" w:cs="仿宋_GB2312"/>
          <w:color w:val="000000"/>
          <w:kern w:val="0"/>
          <w:sz w:val="32"/>
          <w:szCs w:val="32"/>
          <w:u w:val="none"/>
          <w:lang w:val="en-US" w:eastAsia="zh-CN"/>
        </w:rPr>
        <w:t>211110</w:t>
      </w:r>
      <w:r>
        <w:rPr>
          <w:rFonts w:hint="eastAsia" w:ascii="仿宋_GB2312" w:hAnsi="仿宋_GB2312" w:eastAsia="仿宋_GB2312" w:cs="仿宋_GB2312"/>
          <w:color w:val="000000"/>
          <w:kern w:val="0"/>
          <w:sz w:val="32"/>
          <w:szCs w:val="32"/>
          <w:lang w:val="en-US" w:eastAsia="zh-CN"/>
        </w:rPr>
        <w:t>万元</w:t>
      </w:r>
    </w:p>
    <w:p w14:paraId="69B85EA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left"/>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b/>
          <w:bCs/>
          <w:color w:val="000000"/>
          <w:kern w:val="0"/>
          <w:sz w:val="32"/>
          <w:szCs w:val="32"/>
          <w:lang w:val="en-US" w:eastAsia="zh-CN"/>
        </w:rPr>
        <w:t>④“三公”经费</w:t>
      </w:r>
      <w:r>
        <w:rPr>
          <w:rFonts w:hint="eastAsia" w:ascii="仿宋_GB2312" w:hAnsi="仿宋_GB2312" w:eastAsia="仿宋_GB2312" w:cs="仿宋_GB2312"/>
          <w:color w:val="000000"/>
          <w:kern w:val="0"/>
          <w:sz w:val="32"/>
          <w:szCs w:val="32"/>
          <w:lang w:val="en-US" w:eastAsia="zh-CN"/>
        </w:rPr>
        <w:t>：年初预算数4万元，决算执行数2.33万元，节约开支1.67万元，占预算的58.25%。</w:t>
      </w:r>
    </w:p>
    <w:p w14:paraId="0ECF2833">
      <w:pPr>
        <w:pStyle w:val="4"/>
        <w:keepNext w:val="0"/>
        <w:keepLines w:val="0"/>
        <w:pageBreakBefore w:val="0"/>
        <w:widowControl w:val="0"/>
        <w:kinsoku/>
        <w:wordWrap/>
        <w:overflowPunct/>
        <w:topLinePunct w:val="0"/>
        <w:autoSpaceDE w:val="0"/>
        <w:autoSpaceDN w:val="0"/>
        <w:bidi w:val="0"/>
        <w:adjustRightInd w:val="0"/>
        <w:snapToGrid/>
        <w:spacing w:line="56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w:t>
      </w:r>
      <w:r>
        <w:rPr>
          <w:rFonts w:hint="eastAsia" w:ascii="楷体" w:hAnsi="楷体" w:eastAsia="楷体" w:cs="楷体"/>
          <w:b/>
          <w:bCs/>
          <w:sz w:val="32"/>
          <w:szCs w:val="32"/>
          <w:lang w:eastAsia="zh-CN"/>
        </w:rPr>
        <w:t>、</w:t>
      </w:r>
      <w:r>
        <w:rPr>
          <w:rFonts w:hint="eastAsia" w:ascii="楷体" w:hAnsi="楷体" w:eastAsia="楷体" w:cs="楷体"/>
          <w:b/>
          <w:bCs/>
          <w:sz w:val="32"/>
          <w:szCs w:val="32"/>
        </w:rPr>
        <w:t>原因</w:t>
      </w:r>
      <w:r>
        <w:rPr>
          <w:rFonts w:hint="eastAsia" w:ascii="楷体" w:hAnsi="楷体" w:eastAsia="楷体" w:cs="楷体"/>
          <w:b/>
          <w:bCs/>
          <w:sz w:val="32"/>
          <w:szCs w:val="32"/>
          <w:lang w:val="en-US" w:eastAsia="zh-CN"/>
        </w:rPr>
        <w:t>及建议</w:t>
      </w:r>
      <w:r>
        <w:rPr>
          <w:rFonts w:hint="eastAsia" w:ascii="楷体" w:hAnsi="楷体" w:eastAsia="楷体" w:cs="楷体"/>
          <w:b/>
          <w:bCs/>
          <w:sz w:val="32"/>
          <w:szCs w:val="32"/>
          <w:lang w:eastAsia="zh-CN"/>
        </w:rPr>
        <w:t>。</w:t>
      </w:r>
    </w:p>
    <w:p w14:paraId="725DF2B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b w:val="0"/>
          <w:bCs w:val="0"/>
          <w:color w:val="000000"/>
          <w:kern w:val="0"/>
          <w:sz w:val="32"/>
          <w:szCs w:val="32"/>
          <w:lang w:val="en-US" w:eastAsia="zh-CN"/>
        </w:rPr>
        <w:t>1、</w:t>
      </w:r>
      <w:r>
        <w:rPr>
          <w:rFonts w:hint="eastAsia" w:ascii="仿宋_GB2312" w:hAnsi="仿宋_GB2312" w:eastAsia="仿宋_GB2312" w:cs="仿宋_GB2312"/>
          <w:color w:val="000000"/>
          <w:kern w:val="0"/>
          <w:sz w:val="32"/>
          <w:szCs w:val="32"/>
          <w:lang w:val="en-US" w:eastAsia="zh-CN"/>
        </w:rPr>
        <w:t>单位资金运行困难，缺口较大，公用经费支出存在不确定性，财年预算数按照上级要求是应逐年压缩，但实际费用开支浮动性较大。</w:t>
      </w:r>
    </w:p>
    <w:p w14:paraId="6A148829">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default" w:ascii="仿宋_GB2312" w:hAnsi="仿宋_GB2312" w:eastAsia="仿宋_GB2312" w:cs="仿宋_GB2312"/>
          <w:color w:val="000000"/>
          <w:kern w:val="0"/>
          <w:sz w:val="32"/>
          <w:szCs w:val="32"/>
          <w:lang w:val="en-US" w:eastAsia="zh-CN"/>
        </w:rPr>
      </w:pPr>
      <w:r>
        <w:rPr>
          <w:rFonts w:hint="eastAsia" w:ascii="仿宋" w:hAnsi="仿宋" w:eastAsia="仿宋" w:cs="仿宋"/>
          <w:b w:val="0"/>
          <w:bCs w:val="0"/>
          <w:color w:val="000000"/>
          <w:kern w:val="0"/>
          <w:sz w:val="32"/>
          <w:szCs w:val="32"/>
          <w:lang w:val="en-US" w:eastAsia="zh-CN"/>
        </w:rPr>
        <w:t>2、人员</w:t>
      </w:r>
      <w:r>
        <w:rPr>
          <w:rFonts w:hint="eastAsia" w:ascii="仿宋_GB2312" w:hAnsi="仿宋_GB2312" w:eastAsia="仿宋_GB2312" w:cs="仿宋_GB2312"/>
          <w:color w:val="000000"/>
          <w:kern w:val="0"/>
          <w:sz w:val="32"/>
          <w:szCs w:val="32"/>
          <w:lang w:val="en-US" w:eastAsia="zh-CN"/>
        </w:rPr>
        <w:t>编制不足，工作量大。部门承担应急和安全生产监察监管、森林防灭火、防汛抗旱、抢险救灾、安委办协调统筹等重要职责，一人多岗。</w:t>
      </w:r>
    </w:p>
    <w:p w14:paraId="563827CC">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rPr>
          <w:rFonts w:hint="default" w:ascii="仿宋_GB2312" w:hAnsi="仿宋_GB2312" w:eastAsia="仿宋_GB2312" w:cs="仿宋_GB2312"/>
          <w:b/>
          <w:bCs/>
          <w:color w:val="000000"/>
          <w:kern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rPr>
        <w:t>3、行政运行经费、工会经费紧张。</w:t>
      </w:r>
    </w:p>
    <w:p w14:paraId="0AD73D51">
      <w:pPr>
        <w:keepNext w:val="0"/>
        <w:keepLines w:val="0"/>
        <w:pageBreakBefore w:val="0"/>
        <w:widowControl w:val="0"/>
        <w:kinsoku/>
        <w:wordWrap/>
        <w:overflowPunct/>
        <w:topLinePunct w:val="0"/>
        <w:bidi w:val="0"/>
        <w:snapToGrid/>
        <w:spacing w:line="560" w:lineRule="exact"/>
        <w:ind w:left="0" w:leftChars="0" w:firstLine="640" w:firstLineChars="200"/>
        <w:jc w:val="left"/>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color w:val="000000"/>
          <w:kern w:val="0"/>
          <w:sz w:val="32"/>
          <w:szCs w:val="32"/>
          <w:lang w:val="en-US" w:eastAsia="zh-CN"/>
        </w:rPr>
        <w:t>科学、合理地编制本年预算草案，避免项目支出与基本支出划分不准或预算支出与实际执行出现较大偏差的情况。</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大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roma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92F51E"/>
    <w:multiLevelType w:val="singleLevel"/>
    <w:tmpl w:val="6A92F51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00000000"/>
    <w:rsid w:val="04043713"/>
    <w:rsid w:val="0DB6435D"/>
    <w:rsid w:val="1EC70DB6"/>
    <w:rsid w:val="29792531"/>
    <w:rsid w:val="29E27B35"/>
    <w:rsid w:val="38166225"/>
    <w:rsid w:val="39DF22A6"/>
    <w:rsid w:val="3AC16801"/>
    <w:rsid w:val="489A18C8"/>
    <w:rsid w:val="5A2468A8"/>
    <w:rsid w:val="5E2C1D10"/>
    <w:rsid w:val="5EB37282"/>
    <w:rsid w:val="6813655C"/>
    <w:rsid w:val="6878603A"/>
    <w:rsid w:val="727342FE"/>
    <w:rsid w:val="7AEB3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880</Words>
  <Characters>1071</Characters>
  <Lines>0</Lines>
  <Paragraphs>0</Paragraphs>
  <TotalTime>85</TotalTime>
  <ScaleCrop>false</ScaleCrop>
  <LinksUpToDate>false</LinksUpToDate>
  <CharactersWithSpaces>1091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3508</cp:lastModifiedBy>
  <dcterms:modified xsi:type="dcterms:W3CDTF">2024-10-21T00:57:27Z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0F5B5F91A61E4F889966191D23DDFDF7_13</vt:lpwstr>
  </property>
</Properties>
</file>