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rFonts w:hint="default" w:eastAsia="仿宋_GB2312"/>
          <w:b/>
          <w:sz w:val="24"/>
          <w:lang w:val="en-US" w:eastAsia="zh-CN"/>
        </w:rPr>
      </w:pPr>
      <w:r>
        <w:rPr>
          <w:rFonts w:hint="eastAsia" w:ascii="仿宋_GB2312" w:hAnsi="仿宋_GB2312" w:eastAsia="仿宋_GB2312" w:cs="仿宋_GB2312"/>
          <w:b/>
          <w:sz w:val="24"/>
        </w:rPr>
        <w:t>附件2-3 </w:t>
      </w:r>
    </w:p>
    <w:p>
      <w:pPr>
        <w:spacing w:line="600" w:lineRule="exact"/>
        <w:jc w:val="center"/>
        <w:rPr>
          <w:rFonts w:hint="eastAsia" w:ascii="宋体" w:hAnsi="宋体"/>
          <w:b/>
          <w:w w:val="85"/>
          <w:sz w:val="44"/>
          <w:szCs w:val="44"/>
        </w:rPr>
      </w:pPr>
      <w:r>
        <w:rPr>
          <w:rFonts w:eastAsia="方正粗宋简体"/>
          <w:w w:val="85"/>
          <w:sz w:val="44"/>
          <w:szCs w:val="44"/>
        </w:rPr>
        <w:t> </w:t>
      </w:r>
      <w:r>
        <w:rPr>
          <w:rFonts w:hint="eastAsia" w:ascii="宋体" w:hAnsi="宋体" w:eastAsia="方正粗宋简体"/>
          <w:b/>
          <w:w w:val="85"/>
          <w:sz w:val="44"/>
          <w:szCs w:val="44"/>
          <w:lang w:eastAsia="zh-CN"/>
        </w:rPr>
        <w:t>2023</w:t>
      </w:r>
      <w:r>
        <w:rPr>
          <w:rFonts w:ascii="宋体" w:hAnsi="宋体"/>
          <w:b/>
          <w:w w:val="85"/>
          <w:sz w:val="44"/>
          <w:szCs w:val="44"/>
        </w:rPr>
        <w:t>年度</w:t>
      </w:r>
      <w:r>
        <w:rPr>
          <w:rFonts w:hint="eastAsia" w:ascii="宋体" w:hAnsi="宋体"/>
          <w:b/>
          <w:w w:val="85"/>
          <w:sz w:val="44"/>
          <w:szCs w:val="44"/>
          <w:lang w:val="en-US" w:eastAsia="zh-CN"/>
        </w:rPr>
        <w:t>特岗人员意外伤害保险</w:t>
      </w:r>
      <w:r>
        <w:rPr>
          <w:rFonts w:hint="eastAsia" w:ascii="宋体" w:hAnsi="宋体"/>
          <w:b/>
          <w:w w:val="85"/>
          <w:sz w:val="44"/>
          <w:szCs w:val="44"/>
        </w:rPr>
        <w:t>项目</w:t>
      </w:r>
      <w:r>
        <w:rPr>
          <w:rFonts w:ascii="宋体" w:hAnsi="宋体"/>
          <w:b/>
          <w:w w:val="85"/>
          <w:sz w:val="44"/>
          <w:szCs w:val="44"/>
        </w:rPr>
        <w:t>支出</w:t>
      </w:r>
      <w:r>
        <w:rPr>
          <w:rFonts w:hint="eastAsia" w:ascii="宋体" w:hAnsi="宋体"/>
          <w:b/>
          <w:w w:val="85"/>
          <w:sz w:val="44"/>
          <w:szCs w:val="44"/>
        </w:rPr>
        <w:t>绩效</w:t>
      </w:r>
    </w:p>
    <w:p>
      <w:pPr>
        <w:spacing w:line="600" w:lineRule="exact"/>
        <w:jc w:val="center"/>
        <w:rPr>
          <w:rFonts w:hint="eastAsia" w:ascii="宋体" w:hAnsi="宋体"/>
          <w:b/>
          <w:w w:val="85"/>
          <w:sz w:val="36"/>
          <w:szCs w:val="36"/>
        </w:rPr>
      </w:pPr>
      <w:r>
        <w:rPr>
          <w:rFonts w:ascii="宋体" w:hAnsi="宋体"/>
          <w:b/>
          <w:w w:val="85"/>
          <w:sz w:val="44"/>
          <w:szCs w:val="44"/>
        </w:rPr>
        <w:t>自评报告</w:t>
      </w:r>
    </w:p>
    <w:p>
      <w:pPr>
        <w:spacing w:line="560" w:lineRule="exact"/>
        <w:ind w:firstLine="643" w:firstLineChars="200"/>
        <w:jc w:val="left"/>
        <w:rPr>
          <w:rFonts w:hint="eastAsia" w:ascii="宋体" w:hAnsi="宋体" w:eastAsia="宋体" w:cs="宋体"/>
          <w:b/>
          <w:bCs w:val="0"/>
          <w:sz w:val="32"/>
          <w:szCs w:val="32"/>
        </w:rPr>
      </w:pPr>
    </w:p>
    <w:p>
      <w:p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一、基本情况</w:t>
      </w:r>
    </w:p>
    <w:p>
      <w:p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（一）项目概况</w:t>
      </w:r>
    </w:p>
    <w:p>
      <w:p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应急管理部办公厅关于为应急管理系统特岗人员购买意外伤害保险的通知》（应急厅函〔2019〕468号）、《湖南省应急管理厅办公室关于为特岗人员购买意外伤害保险的通知》（湘应急办函〔2019〕48号）文件精神，按照分级管理，分级负责的原则，给予应急管理系统在编（含事业编制人员）在职特岗人员购买意外伤害险。该项目年初预算5.50万元，全年执行数5.50万元，预算执行率100%。</w:t>
      </w:r>
    </w:p>
    <w:p>
      <w:p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项目绩效目标</w:t>
      </w:r>
    </w:p>
    <w:p>
      <w:pPr>
        <w:numPr>
          <w:ilvl w:val="0"/>
          <w:numId w:val="0"/>
        </w:numPr>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特岗人员意外伤害保险项目5.50万元，用于全县乡（镇）及县本级应急部门在编（含事业编制人员）在职特岗人员购买意外伤害险。</w:t>
      </w:r>
    </w:p>
    <w:p>
      <w:p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二、绩效评价工作开展情况</w:t>
      </w:r>
    </w:p>
    <w:p>
      <w:pPr>
        <w:spacing w:line="560" w:lineRule="exact"/>
        <w:ind w:left="0" w:leftChars="0"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（一）绩效评价目的、对象和范围</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（1）严格执行《预算法》，强化支出责任，提高项目资金使用效益，对项目支出情况开展绩效评价，践行“花钱必问效、无效必问责”。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通过项目资金的绩效评价，进一步了解和掌握项目实施的具体情况，评价其项目资金安排的科学性、合理性、规范性和资金使用成效，及时总结项目管理经验，完善项目管理办法，提高项目管理水平和资金额使用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（3）促</w:t>
      </w:r>
      <w:r>
        <w:rPr>
          <w:rFonts w:hint="eastAsia" w:ascii="仿宋_GB2312" w:hAnsi="仿宋_GB2312" w:eastAsia="仿宋_GB2312" w:cs="仿宋_GB2312"/>
          <w:b w:val="0"/>
          <w:bCs w:val="0"/>
          <w:sz w:val="32"/>
          <w:szCs w:val="32"/>
          <w:lang w:val="en-US" w:eastAsia="zh-CN"/>
        </w:rPr>
        <w:t>进</w:t>
      </w:r>
      <w:r>
        <w:rPr>
          <w:rFonts w:hint="eastAsia" w:ascii="仿宋_GB2312" w:hAnsi="仿宋_GB2312" w:eastAsia="仿宋_GB2312" w:cs="仿宋_GB2312"/>
          <w:b w:val="0"/>
          <w:bCs w:val="0"/>
          <w:sz w:val="32"/>
          <w:szCs w:val="32"/>
        </w:rPr>
        <w:t>项目</w:t>
      </w:r>
      <w:r>
        <w:rPr>
          <w:rFonts w:hint="eastAsia" w:ascii="仿宋_GB2312" w:hAnsi="仿宋_GB2312" w:eastAsia="仿宋_GB2312" w:cs="仿宋_GB2312"/>
          <w:b w:val="0"/>
          <w:bCs w:val="0"/>
          <w:sz w:val="32"/>
          <w:szCs w:val="32"/>
          <w:lang w:val="en-US" w:eastAsia="zh-CN"/>
        </w:rPr>
        <w:t>实施方</w:t>
      </w:r>
      <w:r>
        <w:rPr>
          <w:rFonts w:hint="eastAsia" w:ascii="仿宋_GB2312" w:hAnsi="仿宋_GB2312" w:eastAsia="仿宋_GB2312" w:cs="仿宋_GB2312"/>
          <w:b w:val="0"/>
          <w:bCs w:val="0"/>
          <w:sz w:val="32"/>
          <w:szCs w:val="32"/>
        </w:rPr>
        <w:t>及项目分管领导，对绩效评价中发现的问题，认真整改，及时调整和完善单位的工作计划和绩效目标，提高管理水平，同时为项目后续资金投入、分配和管理提供决策依据。</w:t>
      </w:r>
    </w:p>
    <w:p>
      <w:pPr>
        <w:spacing w:line="560" w:lineRule="exact"/>
        <w:ind w:firstLine="640" w:firstLineChars="200"/>
        <w:jc w:val="lef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（4）2023年特岗人员意外伤害保险资金5.50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截止2023年底，已使用5.496万元（120人</w:t>
      </w:r>
      <w:r>
        <w:rPr>
          <w:rFonts w:hint="default" w:ascii="Arial" w:hAnsi="Arial" w:eastAsia="仿宋_GB2312" w:cs="Arial"/>
          <w:b w:val="0"/>
          <w:bCs w:val="0"/>
          <w:sz w:val="32"/>
          <w:szCs w:val="32"/>
          <w:lang w:val="en-US" w:eastAsia="zh-CN"/>
        </w:rPr>
        <w:t>×</w:t>
      </w:r>
      <w:r>
        <w:rPr>
          <w:rFonts w:hint="eastAsia" w:ascii="仿宋_GB2312" w:hAnsi="仿宋_GB2312" w:eastAsia="仿宋_GB2312" w:cs="仿宋_GB2312"/>
          <w:b w:val="0"/>
          <w:bCs w:val="0"/>
          <w:sz w:val="32"/>
          <w:szCs w:val="32"/>
          <w:lang w:val="en-US" w:eastAsia="zh-CN"/>
        </w:rPr>
        <w:t>458元），全部用于乡镇</w:t>
      </w:r>
      <w:r>
        <w:rPr>
          <w:rFonts w:hint="eastAsia" w:ascii="仿宋_GB2312" w:hAnsi="仿宋_GB2312" w:eastAsia="仿宋_GB2312" w:cs="仿宋_GB2312"/>
          <w:sz w:val="32"/>
          <w:szCs w:val="32"/>
          <w:lang w:val="en-US" w:eastAsia="zh-CN"/>
        </w:rPr>
        <w:t>及县本级应急部门在编（含事业编制人员）在职特岗人员购买的意外伤害险。</w:t>
      </w:r>
    </w:p>
    <w:p>
      <w:pPr>
        <w:numPr>
          <w:ilvl w:val="0"/>
          <w:numId w:val="0"/>
        </w:numPr>
        <w:spacing w:line="560" w:lineRule="exact"/>
        <w:ind w:left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绩效评价原则、评价指标体系（附表说明）、评价</w:t>
      </w:r>
    </w:p>
    <w:p>
      <w:pPr>
        <w:numPr>
          <w:ilvl w:val="0"/>
          <w:numId w:val="0"/>
        </w:numPr>
        <w:spacing w:line="560" w:lineRule="exact"/>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方法、评价标准等。</w:t>
      </w:r>
    </w:p>
    <w:p>
      <w:pPr>
        <w:numPr>
          <w:ilvl w:val="0"/>
          <w:numId w:val="0"/>
        </w:numPr>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科学公正。绩效评价应当运用科学合理的方法，按照规范的程序，对项目绩效进行客观、公正的反映。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（2）统筹兼顾。单位自评、部门评价和财政评价应职责明确，各有侧重，相互衔接。单位自评应由项目单位自助实施，即“谁支出、谁自评”。部门评价和财政评价应在单位自评的基础上开展。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（3）激励约束。绩效评价结果应与预算安排、政策调整、改进管理实质性挂钩，体现奖优罚劣和激励相容导向，有效要安排，低效要压减、无效要问责。</w:t>
      </w:r>
    </w:p>
    <w:p>
      <w:pPr>
        <w:numPr>
          <w:ilvl w:val="0"/>
          <w:numId w:val="0"/>
        </w:numPr>
        <w:spacing w:line="560" w:lineRule="exact"/>
        <w:ind w:firstLine="640" w:firstLineChars="200"/>
        <w:jc w:val="left"/>
        <w:rPr>
          <w:rFonts w:hint="default" w:ascii="楷体_GB2312" w:hAnsi="楷体_GB2312" w:eastAsia="楷体_GB2312" w:cs="楷体_GB2312"/>
          <w:b/>
          <w:bCs/>
          <w:sz w:val="32"/>
          <w:szCs w:val="32"/>
          <w:lang w:val="en-US" w:eastAsia="zh-CN"/>
        </w:rPr>
      </w:pPr>
      <w:r>
        <w:rPr>
          <w:rFonts w:hint="eastAsia" w:ascii="仿宋_GB2312" w:hAnsi="仿宋_GB2312" w:eastAsia="仿宋_GB2312" w:cs="仿宋_GB2312"/>
          <w:b w:val="0"/>
          <w:bCs w:val="0"/>
          <w:sz w:val="32"/>
          <w:szCs w:val="32"/>
        </w:rPr>
        <w:t>（4）公开透明。绩效评价结果应依法依归公开，并自觉接受社会监督。</w:t>
      </w:r>
    </w:p>
    <w:p>
      <w:p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（三）绩效评价工作过程</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（1）成立绩效</w:t>
      </w:r>
      <w:r>
        <w:rPr>
          <w:rFonts w:hint="eastAsia" w:ascii="仿宋_GB2312" w:hAnsi="仿宋_GB2312" w:eastAsia="仿宋_GB2312" w:cs="仿宋_GB2312"/>
          <w:b w:val="0"/>
          <w:bCs w:val="0"/>
          <w:sz w:val="32"/>
          <w:szCs w:val="32"/>
          <w:lang w:val="en-US" w:eastAsia="zh-CN"/>
        </w:rPr>
        <w:t>自评</w:t>
      </w:r>
      <w:r>
        <w:rPr>
          <w:rFonts w:hint="eastAsia" w:ascii="仿宋_GB2312" w:hAnsi="仿宋_GB2312" w:eastAsia="仿宋_GB2312" w:cs="仿宋_GB2312"/>
          <w:b w:val="0"/>
          <w:bCs w:val="0"/>
          <w:sz w:val="32"/>
          <w:szCs w:val="32"/>
        </w:rPr>
        <w:t>小组；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（2）组织相关人员进行培训；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（3）收集相关资料；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（4）分析资料、汇总评价数据；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（5）填写项目支出绩效单位自评表，撰写绩效自评报告。</w:t>
      </w:r>
    </w:p>
    <w:p>
      <w:pPr>
        <w:spacing w:line="560" w:lineRule="exact"/>
        <w:ind w:left="0" w:leftChars="0" w:firstLine="640" w:firstLineChars="200"/>
        <w:jc w:val="left"/>
        <w:rPr>
          <w:rFonts w:hint="eastAsia" w:ascii="仿宋_GB2312" w:hAnsi="仿宋_GB2312" w:eastAsia="仿宋_GB2312" w:cs="仿宋_GB2312"/>
          <w:bCs/>
          <w:sz w:val="32"/>
          <w:szCs w:val="32"/>
        </w:rPr>
      </w:pPr>
      <w:r>
        <w:rPr>
          <w:rFonts w:hint="eastAsia" w:ascii="黑体" w:hAnsi="黑体" w:eastAsia="黑体" w:cs="黑体"/>
          <w:b w:val="0"/>
          <w:bCs/>
          <w:sz w:val="32"/>
          <w:szCs w:val="32"/>
        </w:rPr>
        <w:t>三、综合评价情况及评价结论</w:t>
      </w:r>
    </w:p>
    <w:p>
      <w:pPr>
        <w:numPr>
          <w:ilvl w:val="0"/>
          <w:numId w:val="0"/>
        </w:numPr>
        <w:spacing w:line="560" w:lineRule="exact"/>
        <w:ind w:firstLine="640" w:firstLineChars="200"/>
        <w:jc w:val="left"/>
        <w:rPr>
          <w:rFonts w:hint="eastAsia" w:ascii="黑体" w:hAnsi="黑体" w:eastAsia="黑体" w:cs="黑体"/>
          <w:b w:val="0"/>
          <w:bCs/>
          <w:sz w:val="32"/>
          <w:szCs w:val="32"/>
        </w:rPr>
      </w:pPr>
      <w:r>
        <w:rPr>
          <w:rFonts w:hint="eastAsia" w:ascii="仿宋_GB2312" w:hAnsi="仿宋_GB2312" w:eastAsia="仿宋_GB2312" w:cs="仿宋_GB2312"/>
          <w:b w:val="0"/>
          <w:bCs w:val="0"/>
          <w:sz w:val="32"/>
          <w:szCs w:val="32"/>
          <w:lang w:val="en-US" w:eastAsia="zh-CN"/>
        </w:rPr>
        <w:t>2023年特岗人员意外伤害保险资金5.50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用于</w:t>
      </w:r>
      <w:r>
        <w:rPr>
          <w:rFonts w:hint="eastAsia" w:ascii="仿宋_GB2312" w:hAnsi="仿宋_GB2312" w:eastAsia="仿宋_GB2312" w:cs="仿宋_GB2312"/>
          <w:sz w:val="32"/>
          <w:szCs w:val="32"/>
          <w:lang w:val="en-US" w:eastAsia="zh-CN"/>
        </w:rPr>
        <w:t>全县乡（镇）及县本级应急部门在编（含事业编制人员）在职特岗人员购买意外伤害险。</w:t>
      </w:r>
      <w:r>
        <w:rPr>
          <w:rFonts w:hint="eastAsia" w:ascii="仿宋_GB2312" w:hAnsi="仿宋_GB2312" w:eastAsia="仿宋_GB2312" w:cs="仿宋_GB2312"/>
          <w:b w:val="0"/>
          <w:bCs w:val="0"/>
          <w:sz w:val="32"/>
          <w:szCs w:val="32"/>
          <w:lang w:val="en-US" w:eastAsia="zh-CN"/>
        </w:rPr>
        <w:t>项目完成率100%。</w:t>
      </w:r>
    </w:p>
    <w:p>
      <w:pPr>
        <w:spacing w:line="560" w:lineRule="exact"/>
        <w:ind w:firstLine="640" w:firstLineChars="200"/>
        <w:jc w:val="left"/>
        <w:rPr>
          <w:rFonts w:hint="eastAsia" w:ascii="黑体" w:hAnsi="黑体" w:eastAsia="黑体" w:cs="黑体"/>
          <w:b w:val="0"/>
          <w:bCs/>
          <w:sz w:val="32"/>
          <w:szCs w:val="32"/>
        </w:rPr>
      </w:pPr>
      <w:bookmarkStart w:id="0" w:name="_GoBack"/>
      <w:bookmarkEnd w:id="0"/>
      <w:r>
        <w:rPr>
          <w:rFonts w:hint="eastAsia" w:ascii="黑体" w:hAnsi="黑体" w:eastAsia="黑体" w:cs="黑体"/>
          <w:b w:val="0"/>
          <w:bCs/>
          <w:sz w:val="32"/>
          <w:szCs w:val="32"/>
        </w:rPr>
        <w:t>四、绩效评价指标分析</w:t>
      </w:r>
    </w:p>
    <w:p>
      <w:pPr>
        <w:spacing w:line="560" w:lineRule="exact"/>
        <w:ind w:firstLine="643"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特岗人员意外伤害保险资金严格按照财务制度有关规定拨付和使用。建立台账和财务档案，做到账实相符、账表相符。资金使用经局分管财务领导签字后，财务人员方可支付。</w:t>
      </w:r>
    </w:p>
    <w:p>
      <w:pPr>
        <w:spacing w:line="560" w:lineRule="exact"/>
        <w:ind w:left="0" w:leftChars="0"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（二）项目过程情况。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特岗人员意外伤害保险资金5.50万元，为</w:t>
      </w:r>
      <w:r>
        <w:rPr>
          <w:rFonts w:hint="eastAsia" w:ascii="仿宋_GB2312" w:hAnsi="仿宋_GB2312" w:eastAsia="仿宋_GB2312" w:cs="仿宋_GB2312"/>
          <w:sz w:val="32"/>
          <w:szCs w:val="32"/>
          <w:lang w:val="en-US" w:eastAsia="zh-CN"/>
        </w:rPr>
        <w:t>全县乡（镇）及县本级应急部门在编（含事业编制人员）在职特岗人员购买意外伤害险5.496万元</w:t>
      </w:r>
      <w:r>
        <w:rPr>
          <w:rFonts w:hint="eastAsia" w:ascii="仿宋_GB2312" w:hAnsi="仿宋_GB2312" w:eastAsia="仿宋_GB2312" w:cs="仿宋_GB2312"/>
          <w:b w:val="0"/>
          <w:bCs w:val="0"/>
          <w:sz w:val="32"/>
          <w:szCs w:val="32"/>
          <w:lang w:val="en-US" w:eastAsia="zh-CN"/>
        </w:rPr>
        <w:t>，剩余0.004万元。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2023年特岗人员意外伤害保险5.50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val="en-US" w:eastAsia="zh-CN"/>
        </w:rPr>
        <w:t>全部用于</w:t>
      </w:r>
      <w:r>
        <w:rPr>
          <w:rFonts w:hint="eastAsia" w:ascii="仿宋_GB2312" w:hAnsi="仿宋_GB2312" w:eastAsia="仿宋_GB2312" w:cs="仿宋_GB2312"/>
          <w:sz w:val="32"/>
          <w:szCs w:val="32"/>
          <w:lang w:val="en-US" w:eastAsia="zh-CN"/>
        </w:rPr>
        <w:t>县本级应急部门和乡镇在编（含事业编制人员）在职特岗人员购买意外伤害险，全县在编在职特岗人员120人，每人保费120元，</w:t>
      </w:r>
      <w:r>
        <w:rPr>
          <w:rFonts w:hint="eastAsia" w:ascii="仿宋_GB2312" w:hAnsi="仿宋_GB2312" w:eastAsia="仿宋_GB2312" w:cs="仿宋_GB2312"/>
          <w:b w:val="0"/>
          <w:bCs w:val="0"/>
          <w:color w:val="auto"/>
          <w:sz w:val="32"/>
          <w:szCs w:val="32"/>
          <w:lang w:val="en-US" w:eastAsia="zh-CN"/>
        </w:rPr>
        <w:t>预算执行率100%。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b w:val="0"/>
          <w:bCs w:val="0"/>
          <w:color w:val="auto"/>
          <w:sz w:val="32"/>
          <w:szCs w:val="32"/>
          <w:lang w:val="en-US" w:eastAsia="zh-CN"/>
        </w:rPr>
        <w:t>特岗人员意外伤害保险5.50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sz w:val="32"/>
          <w:szCs w:val="32"/>
          <w:lang w:val="en-US" w:eastAsia="zh-CN"/>
        </w:rPr>
        <w:t>，已使用5.496万元。完成预算数的100%。</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2、经济效益</w:t>
      </w: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b w:val="0"/>
          <w:bCs w:val="0"/>
          <w:color w:val="auto"/>
          <w:sz w:val="32"/>
          <w:szCs w:val="32"/>
          <w:lang w:val="en-US" w:eastAsia="zh-CN"/>
        </w:rPr>
        <w:t>特岗人员意外伤害保险5.50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sz w:val="32"/>
          <w:szCs w:val="32"/>
          <w:lang w:val="en-US" w:eastAsia="zh-CN"/>
        </w:rPr>
        <w:t>资金下拨</w:t>
      </w:r>
      <w:r>
        <w:rPr>
          <w:rFonts w:hint="eastAsia" w:ascii="仿宋_GB2312" w:hAnsi="仿宋_GB2312" w:eastAsia="仿宋_GB2312" w:cs="仿宋_GB2312"/>
          <w:sz w:val="32"/>
          <w:szCs w:val="32"/>
          <w:lang w:eastAsia="zh-CN"/>
        </w:rPr>
        <w:t>及时率</w:t>
      </w:r>
      <w:r>
        <w:rPr>
          <w:rFonts w:hint="eastAsia" w:ascii="仿宋_GB2312" w:hAnsi="仿宋_GB2312" w:eastAsia="仿宋_GB2312" w:cs="仿宋_GB2312"/>
          <w:sz w:val="32"/>
          <w:szCs w:val="32"/>
          <w:lang w:val="en-US" w:eastAsia="zh-CN"/>
        </w:rPr>
        <w:t>100%。保障了全县</w:t>
      </w:r>
      <w:r>
        <w:rPr>
          <w:rFonts w:hint="eastAsia" w:ascii="仿宋_GB2312" w:hAnsi="仿宋_GB2312" w:eastAsia="仿宋_GB2312" w:cs="仿宋_GB2312"/>
          <w:b w:val="0"/>
          <w:bCs w:val="0"/>
          <w:sz w:val="32"/>
          <w:szCs w:val="32"/>
          <w:lang w:val="en-US" w:eastAsia="zh-CN"/>
        </w:rPr>
        <w:t>应急系统特岗人员的人身安全。</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可持续性</w:t>
      </w:r>
      <w:r>
        <w:rPr>
          <w:rFonts w:hint="eastAsia" w:ascii="仿宋_GB2312" w:hAnsi="仿宋_GB2312" w:eastAsia="仿宋_GB2312" w:cs="仿宋_GB2312"/>
          <w:b/>
          <w:bCs/>
          <w:sz w:val="32"/>
          <w:szCs w:val="32"/>
        </w:rPr>
        <w:t>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资金支付</w:t>
      </w:r>
      <w:r>
        <w:rPr>
          <w:rFonts w:hint="eastAsia" w:ascii="仿宋_GB2312" w:hAnsi="仿宋_GB2312" w:eastAsia="仿宋_GB2312" w:cs="仿宋_GB2312"/>
          <w:sz w:val="32"/>
          <w:szCs w:val="32"/>
          <w:lang w:eastAsia="zh-CN"/>
        </w:rPr>
        <w:t>完成后，我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积极对</w:t>
      </w:r>
      <w:r>
        <w:rPr>
          <w:rFonts w:hint="eastAsia" w:ascii="仿宋_GB2312" w:hAnsi="仿宋_GB2312" w:eastAsia="仿宋_GB2312" w:cs="仿宋_GB2312"/>
          <w:sz w:val="32"/>
          <w:szCs w:val="32"/>
          <w:lang w:val="en-US" w:eastAsia="zh-CN"/>
        </w:rPr>
        <w:t>资金使用</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lang w:val="en-US" w:eastAsia="zh-CN"/>
        </w:rPr>
        <w:t>后续跟踪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确保资金专款专用，</w:t>
      </w:r>
      <w:r>
        <w:rPr>
          <w:rFonts w:hint="eastAsia" w:ascii="仿宋_GB2312" w:hAnsi="仿宋_GB2312" w:eastAsia="仿宋_GB2312" w:cs="仿宋_GB2312"/>
          <w:sz w:val="32"/>
          <w:szCs w:val="32"/>
          <w:lang w:eastAsia="zh-CN"/>
        </w:rPr>
        <w:t>保障</w:t>
      </w:r>
      <w:r>
        <w:rPr>
          <w:rFonts w:hint="eastAsia" w:ascii="仿宋_GB2312" w:hAnsi="仿宋_GB2312" w:eastAsia="仿宋_GB2312" w:cs="仿宋_GB2312"/>
          <w:sz w:val="32"/>
          <w:szCs w:val="32"/>
          <w:lang w:val="en-US" w:eastAsia="zh-CN"/>
        </w:rPr>
        <w:t>项目顺利实施</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五、主要经验及做法，存在的问题及原因分析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六、有关建议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七、其他需要说明的问题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eastAsia" w:ascii="仿宋_GB2312" w:hAnsi="仿宋_GB2312" w:eastAsia="仿宋_GB2312" w:cs="仿宋_GB2312"/>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新晃侗族自治县应急管理局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2024年4月10日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NmI3YjcxYTM4YTVhYzE4YTIzM2VmZWFkYTIwZTYifQ=="/>
  </w:docVars>
  <w:rsids>
    <w:rsidRoot w:val="67572B71"/>
    <w:rsid w:val="2D065759"/>
    <w:rsid w:val="491A6896"/>
    <w:rsid w:val="4F0A2117"/>
    <w:rsid w:val="5E873F43"/>
    <w:rsid w:val="67572B71"/>
    <w:rsid w:val="7F535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2024-04-07T09:08:00Z</dcterms:created>
  <dc:creator>6105</dc:creator>
  <cp:lastModifiedBy>6105</cp:lastModifiedBy>
  <dcterms:modified xsi:type="dcterms:W3CDTF">2024-04-09T07:58:10Z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85CE035D4D9D4FC88BD1E67D63E18D74_11</vt:lpwstr>
  </property>
</Properties>
</file>