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ind w:left="0" w:leftChars="0" w:firstLine="0" w:firstLineChars="0"/>
        <w:jc w:val="left"/>
        <w:rPr>
          <w:rFonts w:hint="default" w:eastAsia="仿宋_GB2312"/>
          <w:b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  <w:bookmarkStart w:id="0" w:name="_GoBack"/>
      <w:bookmarkEnd w:id="0"/>
    </w:p>
    <w:p>
      <w:pPr>
        <w:spacing w:line="600" w:lineRule="exact"/>
        <w:jc w:val="center"/>
        <w:rPr>
          <w:rFonts w:hint="eastAsia" w:ascii="宋体" w:hAnsi="宋体"/>
          <w:b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44"/>
          <w:szCs w:val="44"/>
          <w:lang w:eastAsia="zh-CN"/>
        </w:rPr>
        <w:t>2023</w:t>
      </w:r>
      <w:r>
        <w:rPr>
          <w:rFonts w:ascii="宋体" w:hAnsi="宋体"/>
          <w:b/>
          <w:w w:val="85"/>
          <w:sz w:val="44"/>
          <w:szCs w:val="44"/>
        </w:rPr>
        <w:t>年度</w:t>
      </w:r>
      <w:r>
        <w:rPr>
          <w:rFonts w:hint="eastAsia" w:ascii="宋体" w:hAnsi="宋体"/>
          <w:b/>
          <w:w w:val="85"/>
          <w:sz w:val="44"/>
          <w:szCs w:val="44"/>
          <w:lang w:val="en-US" w:eastAsia="zh-CN"/>
        </w:rPr>
        <w:t>应急指挥中心运行维护</w:t>
      </w:r>
      <w:r>
        <w:rPr>
          <w:rFonts w:hint="eastAsia" w:ascii="宋体" w:hAnsi="宋体"/>
          <w:b/>
          <w:w w:val="85"/>
          <w:sz w:val="44"/>
          <w:szCs w:val="44"/>
        </w:rPr>
        <w:t>项目</w:t>
      </w:r>
      <w:r>
        <w:rPr>
          <w:rFonts w:ascii="宋体" w:hAnsi="宋体"/>
          <w:b/>
          <w:w w:val="85"/>
          <w:sz w:val="44"/>
          <w:szCs w:val="44"/>
        </w:rPr>
        <w:t>支出</w:t>
      </w:r>
      <w:r>
        <w:rPr>
          <w:rFonts w:hint="eastAsia" w:ascii="宋体" w:hAnsi="宋体"/>
          <w:b/>
          <w:w w:val="85"/>
          <w:sz w:val="44"/>
          <w:szCs w:val="44"/>
        </w:rPr>
        <w:t>绩效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ascii="宋体" w:hAnsi="宋体"/>
          <w:b/>
          <w:w w:val="85"/>
          <w:sz w:val="44"/>
          <w:szCs w:val="44"/>
        </w:rPr>
        <w:t>自评报告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一、基本情况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项目概况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应急指挥中心是为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提升应急响应的效率和准确性，实时了解突发事件和灾害情况，协调各部门的资源和行动，提供及时准确的信息沟通和发布的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一个平台。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初（预算）安排资金25万元，全年执行数25万元，执行率100%。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（二）项目绩效目标。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项目经费25万元主要用于应急指挥中心设备更新，360终端一体化安全系统软件安装及其他运维（人工）等费用。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二、绩效评价工作开展情况</w:t>
      </w:r>
    </w:p>
    <w:p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（一）绩效评价目的、对象和范围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（3）促使项目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实施方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指挥中心运行维护资金25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截止2023年底，已使用25万元，全部用于指挥中心设备更新，360终端一体化安全系统软件安装及其他运维（人工）等费用。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绩效评价原则、评价指标体系（附表说明）、评价</w:t>
      </w:r>
    </w:p>
    <w:p>
      <w:pPr>
        <w:numPr>
          <w:ilvl w:val="0"/>
          <w:numId w:val="0"/>
        </w:numPr>
        <w:spacing w:line="560" w:lineRule="exact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方法、评价标准等。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（3）激励约束。绩效评价结果应与预算安排、政策调整、改进管理实质性挂钩，体现奖优罚劣和激励相容导向，有效要安排，低效要压减、无效要问责。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（4）公开透明。绩效评价结果应依法依归公开，并自觉接受社会监督。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（三）绩效评价工作过程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（1）成立绩效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小组；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（2）组织相关人员进行培训；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（3）收集相关资料；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（4）分析资料、汇总评价数据；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（5）填写项目支出绩效单位自评表，撰写绩效自评报告。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评分表）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2023年应急指挥中心运维资金25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用于指挥中心设备更新，360终端一体化安全系统软件安装及其他运维（人工）等费用，项目完成率100%，项目验收合格率100%。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四、绩效评价指标分析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应急指挥中心运行维护资金严格按照财务制度有关规定拨付和使用。建立台账和财务档案，做到账实相符、账表相符。资金使用经局分管财务领导签字后，财务人员方可支付。</w:t>
      </w:r>
    </w:p>
    <w:p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应急指挥中心运行维护资金25万元，其中14.66万元用于指挥中心拆装大显示屏支架、更换路由器、解码器、背景墙改造及会标改造，5.38万元用于设备维护方人工维护费，4.96万元用于其他。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2023年应急指挥中心运维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项目总投资预算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全部资金用于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指挥中心设备更新，360终端一体化安全系统软件安装及其他运维（人工）等，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占总预算的100%。截止2023年12月31日，项目预算25万元资金已拨付到位，决算支出25万元，预算执行率100%。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1、产出指标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2023年应急指挥中心运维资金共25万元，已使用25万元。完成预算数的100%。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2、经济效益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：2023年应急指挥中心运行维护资金下拨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100%。保障了全县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应急响应的效率和准确性，为了解突发事件和灾害情况，协调各部门的资源和行动，提供了及时准确的信息沟通和发布。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可持续性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后续跟踪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确保资金专款专用，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项目顺利实施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五、主要经验及做法，存在的问题及原因分析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由于县级财政资金紧张，单位运行经费支出额度不匹配，影响项目资金的使用。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新晃侗族自治县应急管理局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2024年4月10日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6F221995"/>
    <w:rsid w:val="61252B4E"/>
    <w:rsid w:val="6F22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2024-04-07T08:57:00Z</dcterms:created>
  <dc:creator>6105</dc:creator>
  <cp:lastModifiedBy>6105</cp:lastModifiedBy>
  <dcterms:modified xsi:type="dcterms:W3CDTF">2024-04-07T09:12:59Z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94D71886266041D4BD7516BC8503B82C_11</vt:lpwstr>
  </property>
</Properties>
</file>