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ind w:left="0" w:leftChars="0" w:firstLine="0" w:firstLineChars="0"/>
        <w:jc w:val="left"/>
        <w:rPr>
          <w:rFonts w:hint="default" w:eastAsia="仿宋_GB2312"/>
          <w:b/>
          <w:sz w:val="24"/>
          <w:lang w:val="en-US" w:eastAsia="zh-CN"/>
        </w:rPr>
      </w:pPr>
      <w:r>
        <w:rPr>
          <w:rFonts w:hint="eastAsia" w:ascii="仿宋_GB2312" w:hAnsi="仿宋_GB2312" w:eastAsia="仿宋_GB2312" w:cs="仿宋_GB2312"/>
          <w:b/>
          <w:sz w:val="24"/>
        </w:rPr>
        <w:t>附件2-3</w:t>
      </w:r>
    </w:p>
    <w:p>
      <w:pPr>
        <w:spacing w:line="600" w:lineRule="exact"/>
        <w:jc w:val="center"/>
        <w:rPr>
          <w:rFonts w:hint="eastAsia" w:ascii="宋体" w:hAnsi="宋体"/>
          <w:b/>
          <w:w w:val="85"/>
          <w:sz w:val="44"/>
          <w:szCs w:val="44"/>
        </w:rPr>
      </w:pPr>
      <w:r>
        <w:rPr>
          <w:rFonts w:eastAsia="方正粗宋简体"/>
          <w:w w:val="85"/>
          <w:sz w:val="44"/>
          <w:szCs w:val="44"/>
        </w:rPr>
        <w:t> </w:t>
      </w:r>
      <w:r>
        <w:rPr>
          <w:rFonts w:hint="eastAsia" w:ascii="宋体" w:hAnsi="宋体" w:eastAsia="方正粗宋简体"/>
          <w:b/>
          <w:w w:val="85"/>
          <w:sz w:val="44"/>
          <w:szCs w:val="44"/>
          <w:lang w:eastAsia="zh-CN"/>
        </w:rPr>
        <w:t>2023</w:t>
      </w:r>
      <w:r>
        <w:rPr>
          <w:rFonts w:ascii="宋体" w:hAnsi="宋体"/>
          <w:b/>
          <w:w w:val="85"/>
          <w:sz w:val="44"/>
          <w:szCs w:val="44"/>
        </w:rPr>
        <w:t>年度</w:t>
      </w:r>
      <w:r>
        <w:rPr>
          <w:rFonts w:hint="eastAsia" w:ascii="宋体" w:hAnsi="宋体"/>
          <w:b/>
          <w:w w:val="85"/>
          <w:sz w:val="44"/>
          <w:szCs w:val="44"/>
          <w:lang w:val="en-US" w:eastAsia="zh-CN"/>
        </w:rPr>
        <w:t>安全生产举报奖励</w:t>
      </w:r>
      <w:r>
        <w:rPr>
          <w:rFonts w:hint="eastAsia" w:ascii="宋体" w:hAnsi="宋体"/>
          <w:b/>
          <w:w w:val="85"/>
          <w:sz w:val="44"/>
          <w:szCs w:val="44"/>
        </w:rPr>
        <w:t>项目</w:t>
      </w:r>
      <w:r>
        <w:rPr>
          <w:rFonts w:ascii="宋体" w:hAnsi="宋体"/>
          <w:b/>
          <w:w w:val="85"/>
          <w:sz w:val="44"/>
          <w:szCs w:val="44"/>
        </w:rPr>
        <w:t>支出</w:t>
      </w:r>
      <w:r>
        <w:rPr>
          <w:rFonts w:hint="eastAsia" w:ascii="宋体" w:hAnsi="宋体"/>
          <w:b/>
          <w:w w:val="85"/>
          <w:sz w:val="44"/>
          <w:szCs w:val="44"/>
        </w:rPr>
        <w:t>绩效</w:t>
      </w:r>
    </w:p>
    <w:p>
      <w:pPr>
        <w:spacing w:line="600" w:lineRule="exact"/>
        <w:jc w:val="center"/>
        <w:rPr>
          <w:rFonts w:hint="eastAsia" w:ascii="宋体" w:hAnsi="宋体"/>
          <w:b/>
          <w:w w:val="85"/>
          <w:sz w:val="36"/>
          <w:szCs w:val="36"/>
        </w:rPr>
      </w:pPr>
      <w:r>
        <w:rPr>
          <w:rFonts w:ascii="宋体" w:hAnsi="宋体"/>
          <w:b/>
          <w:w w:val="85"/>
          <w:sz w:val="44"/>
          <w:szCs w:val="44"/>
        </w:rPr>
        <w:t>自评报告</w:t>
      </w:r>
    </w:p>
    <w:p>
      <w:pPr>
        <w:spacing w:line="560" w:lineRule="exact"/>
        <w:ind w:firstLine="643" w:firstLineChars="200"/>
        <w:jc w:val="left"/>
        <w:rPr>
          <w:rFonts w:hint="eastAsia" w:ascii="宋体" w:hAnsi="宋体" w:eastAsia="宋体" w:cs="宋体"/>
          <w:b/>
          <w:bCs w:val="0"/>
          <w:sz w:val="32"/>
          <w:szCs w:val="32"/>
        </w:rPr>
      </w:pPr>
    </w:p>
    <w:p>
      <w:pPr>
        <w:spacing w:line="560"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一、基本情况</w:t>
      </w:r>
    </w:p>
    <w:p>
      <w:p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（一）项目概况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根据新晃侗族自治县安全生产委员会关于印发《新晃侗族自治县安全生产领域有奖举报实施办法》的通知（晃安委发〔2021〕10号）文件精神，</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全面</w:t>
      </w:r>
      <w:r>
        <w:rPr>
          <w:rFonts w:hint="eastAsia" w:ascii="仿宋_GB2312" w:hAnsi="仿宋_GB2312" w:eastAsia="仿宋_GB2312" w:cs="仿宋_GB2312"/>
          <w:sz w:val="32"/>
          <w:szCs w:val="32"/>
        </w:rPr>
        <w:t>加强</w:t>
      </w:r>
      <w:r>
        <w:rPr>
          <w:rFonts w:hint="eastAsia" w:ascii="仿宋_GB2312" w:hAnsi="仿宋_GB2312" w:eastAsia="仿宋_GB2312" w:cs="仿宋_GB2312"/>
          <w:sz w:val="32"/>
          <w:szCs w:val="32"/>
          <w:lang w:val="en-US" w:eastAsia="zh-CN"/>
        </w:rPr>
        <w:t>我县安全生产</w:t>
      </w:r>
      <w:r>
        <w:rPr>
          <w:rFonts w:hint="eastAsia" w:ascii="仿宋_GB2312" w:hAnsi="仿宋_GB2312" w:eastAsia="仿宋_GB2312" w:cs="仿宋_GB2312"/>
          <w:sz w:val="32"/>
          <w:szCs w:val="32"/>
        </w:rPr>
        <w:t>监管工作，严厉打击</w:t>
      </w:r>
      <w:r>
        <w:rPr>
          <w:rFonts w:hint="eastAsia" w:ascii="仿宋_GB2312" w:hAnsi="仿宋_GB2312" w:eastAsia="仿宋_GB2312" w:cs="仿宋_GB2312"/>
          <w:sz w:val="32"/>
          <w:szCs w:val="32"/>
          <w:lang w:val="en-US" w:eastAsia="zh-CN"/>
        </w:rPr>
        <w:t>非法违法经营</w:t>
      </w:r>
      <w:r>
        <w:rPr>
          <w:rFonts w:hint="eastAsia" w:ascii="仿宋_GB2312" w:hAnsi="仿宋_GB2312" w:eastAsia="仿宋_GB2312" w:cs="仿宋_GB2312"/>
          <w:sz w:val="32"/>
          <w:szCs w:val="32"/>
        </w:rPr>
        <w:t>行为,切实保障我</w:t>
      </w:r>
      <w:r>
        <w:rPr>
          <w:rFonts w:hint="eastAsia" w:ascii="仿宋_GB2312" w:hAnsi="仿宋_GB2312" w:eastAsia="仿宋_GB2312" w:cs="仿宋_GB2312"/>
          <w:sz w:val="32"/>
          <w:szCs w:val="32"/>
          <w:lang w:val="en-US" w:eastAsia="zh-CN"/>
        </w:rPr>
        <w:t>县社会</w:t>
      </w:r>
      <w:r>
        <w:rPr>
          <w:rFonts w:hint="eastAsia" w:ascii="仿宋_GB2312" w:hAnsi="仿宋_GB2312" w:eastAsia="仿宋_GB2312" w:cs="仿宋_GB2312"/>
          <w:sz w:val="32"/>
          <w:szCs w:val="32"/>
        </w:rPr>
        <w:t>安全</w:t>
      </w:r>
      <w:r>
        <w:rPr>
          <w:rFonts w:hint="eastAsia" w:ascii="仿宋_GB2312" w:hAnsi="仿宋_GB2312" w:eastAsia="仿宋_GB2312" w:cs="仿宋_GB2312"/>
          <w:sz w:val="32"/>
          <w:szCs w:val="32"/>
          <w:lang w:val="en-US" w:eastAsia="zh-CN"/>
        </w:rPr>
        <w:t>稳定</w:t>
      </w:r>
      <w:r>
        <w:rPr>
          <w:rFonts w:hint="eastAsia" w:ascii="仿宋_GB2312" w:hAnsi="仿宋_GB2312" w:eastAsia="仿宋_GB2312" w:cs="仿宋_GB2312"/>
          <w:sz w:val="32"/>
          <w:szCs w:val="32"/>
        </w:rPr>
        <w:t>，构建平安和谐</w:t>
      </w:r>
      <w:r>
        <w:rPr>
          <w:rFonts w:hint="eastAsia" w:ascii="仿宋_GB2312" w:hAnsi="仿宋_GB2312" w:eastAsia="仿宋_GB2312" w:cs="仿宋_GB2312"/>
          <w:sz w:val="32"/>
          <w:szCs w:val="32"/>
          <w:lang w:val="en-US" w:eastAsia="zh-CN"/>
        </w:rPr>
        <w:t>的社会</w:t>
      </w:r>
      <w:r>
        <w:rPr>
          <w:rFonts w:hint="eastAsia" w:ascii="仿宋_GB2312" w:hAnsi="仿宋_GB2312" w:eastAsia="仿宋_GB2312" w:cs="仿宋_GB2312"/>
          <w:sz w:val="32"/>
          <w:szCs w:val="32"/>
        </w:rPr>
        <w:t>环境，</w:t>
      </w:r>
      <w:r>
        <w:rPr>
          <w:rFonts w:hint="eastAsia" w:ascii="仿宋_GB2312" w:hAnsi="仿宋_GB2312" w:eastAsia="仿宋_GB2312" w:cs="仿宋_GB2312"/>
          <w:sz w:val="32"/>
          <w:szCs w:val="32"/>
          <w:lang w:val="en-US" w:eastAsia="zh-CN"/>
        </w:rPr>
        <w:t>设立安全生产举报奖励项目。项目年初预算1.00万元，全年执行数1.05万元（按实际支付统计），预算执行率105%。</w:t>
      </w:r>
    </w:p>
    <w:p>
      <w:pPr>
        <w:numPr>
          <w:ilvl w:val="0"/>
          <w:numId w:val="1"/>
        </w:numPr>
        <w:spacing w:line="560" w:lineRule="exact"/>
        <w:ind w:firstLine="643" w:firstLine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项目绩效目标</w:t>
      </w:r>
    </w:p>
    <w:p>
      <w:pPr>
        <w:numPr>
          <w:ilvl w:val="0"/>
          <w:numId w:val="0"/>
        </w:numPr>
        <w:spacing w:line="560" w:lineRule="exact"/>
        <w:ind w:firstLine="642"/>
        <w:jc w:val="left"/>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val="0"/>
          <w:bCs w:val="0"/>
          <w:sz w:val="32"/>
          <w:szCs w:val="32"/>
          <w:lang w:val="en-US" w:eastAsia="zh-CN"/>
        </w:rPr>
        <w:t>项目经费1.00万元，全部用于安全生产隐患举报奖励费用。其中0.75万元奖励举报永安焊接材料经营部非法储存氧气、乙炔罐等隐患；0.30万元奖励举报新晃协立模具加工有限公司工人未持特种作业证上岗作业隐患。</w:t>
      </w:r>
    </w:p>
    <w:p>
      <w:pPr>
        <w:numPr>
          <w:ilvl w:val="0"/>
          <w:numId w:val="0"/>
        </w:numPr>
        <w:spacing w:line="560"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绩效评价工作开展情况</w:t>
      </w:r>
    </w:p>
    <w:p>
      <w:pPr>
        <w:numPr>
          <w:ilvl w:val="0"/>
          <w:numId w:val="0"/>
        </w:num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（一）绩效评价目的、对象和范围</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（1）严格执行《预算法》，强化支出责任，提高项目资金使用效益，对项目支出情况开展绩效评价，践行“花钱必问效、无效必问责”。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通过项目资金的绩效评价，进一步了解和掌握项目实施的具体情况，评价其项目资金安排的科学性、合理性、规范性和资金使用成效，及时总结项目管理经验，完善项目管理办法，提高项目管理水平和资金额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（3）促使项目</w:t>
      </w:r>
      <w:r>
        <w:rPr>
          <w:rFonts w:hint="eastAsia" w:ascii="仿宋_GB2312" w:hAnsi="仿宋_GB2312" w:eastAsia="仿宋_GB2312" w:cs="仿宋_GB2312"/>
          <w:b w:val="0"/>
          <w:bCs w:val="0"/>
          <w:sz w:val="32"/>
          <w:szCs w:val="32"/>
          <w:lang w:val="en-US" w:eastAsia="zh-CN"/>
        </w:rPr>
        <w:t>实施方</w:t>
      </w:r>
      <w:r>
        <w:rPr>
          <w:rFonts w:hint="eastAsia" w:ascii="仿宋_GB2312" w:hAnsi="仿宋_GB2312" w:eastAsia="仿宋_GB2312" w:cs="仿宋_GB2312"/>
          <w:b w:val="0"/>
          <w:bCs w:val="0"/>
          <w:sz w:val="32"/>
          <w:szCs w:val="32"/>
        </w:rPr>
        <w:t>及项目分管领导，对绩效评价中发现的问题，认真整改，及时调整和完善单位的工作计划和绩效目标，提高管理水平，同时为项目后续资金投入、分配和管理提供决策依据。</w:t>
      </w:r>
    </w:p>
    <w:p>
      <w:pPr>
        <w:spacing w:line="560" w:lineRule="exact"/>
        <w:ind w:firstLine="640" w:firstLineChars="200"/>
        <w:jc w:val="left"/>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（4）202</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安全生产举报奖励资金1.00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截止2023年底，已使用1.05万元，全部用于安全生产举报奖励。</w:t>
      </w:r>
    </w:p>
    <w:p>
      <w:pPr>
        <w:numPr>
          <w:ilvl w:val="0"/>
          <w:numId w:val="0"/>
        </w:numPr>
        <w:spacing w:line="560" w:lineRule="exact"/>
        <w:ind w:firstLine="643" w:firstLine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绩效评价原则、评价指标体系（附表说明）、评价方法、评价标准等。</w:t>
      </w:r>
    </w:p>
    <w:p>
      <w:pPr>
        <w:numPr>
          <w:ilvl w:val="0"/>
          <w:numId w:val="0"/>
        </w:numPr>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科学公正。绩效评价应当运用科学合理的方法，按照规范的程序，对项目绩效进行客观、公正的反映。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（2）统筹兼顾。单位自评、部门评价和财政评价应职责明确，各有侧重，相互衔接。单位自评应由项目单位自助实施，即“谁支出、谁自评”。部门评价和财政评价应在单位自评的基础上开展。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（3）激励约束。绩效评价结果应与预算安排、政策调整、改进管理实质性挂钩，体现奖优罚劣和激励相容导向，有效要安排，低效要压减、无效要问责。</w:t>
      </w:r>
    </w:p>
    <w:p>
      <w:pPr>
        <w:numPr>
          <w:ilvl w:val="0"/>
          <w:numId w:val="0"/>
        </w:numPr>
        <w:spacing w:line="560" w:lineRule="exact"/>
        <w:ind w:firstLine="640" w:firstLineChars="200"/>
        <w:jc w:val="left"/>
        <w:rPr>
          <w:rFonts w:hint="default" w:ascii="楷体_GB2312" w:hAnsi="楷体_GB2312" w:eastAsia="楷体_GB2312" w:cs="楷体_GB2312"/>
          <w:b/>
          <w:bCs/>
          <w:sz w:val="32"/>
          <w:szCs w:val="32"/>
          <w:lang w:val="en-US" w:eastAsia="zh-CN"/>
        </w:rPr>
      </w:pPr>
      <w:r>
        <w:rPr>
          <w:rFonts w:hint="eastAsia" w:ascii="仿宋_GB2312" w:hAnsi="仿宋_GB2312" w:eastAsia="仿宋_GB2312" w:cs="仿宋_GB2312"/>
          <w:b w:val="0"/>
          <w:bCs w:val="0"/>
          <w:sz w:val="32"/>
          <w:szCs w:val="32"/>
        </w:rPr>
        <w:t>（4）公开透明。绩效评价结果应依法依归公开，并自觉接受社会监督。</w:t>
      </w:r>
    </w:p>
    <w:p>
      <w:p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（三）绩效评价工作过程</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（1）成立绩效</w:t>
      </w:r>
      <w:r>
        <w:rPr>
          <w:rFonts w:hint="eastAsia" w:ascii="仿宋_GB2312" w:hAnsi="仿宋_GB2312" w:eastAsia="仿宋_GB2312" w:cs="仿宋_GB2312"/>
          <w:b w:val="0"/>
          <w:bCs w:val="0"/>
          <w:sz w:val="32"/>
          <w:szCs w:val="32"/>
          <w:lang w:val="en-US" w:eastAsia="zh-CN"/>
        </w:rPr>
        <w:t>自评</w:t>
      </w:r>
      <w:r>
        <w:rPr>
          <w:rFonts w:hint="eastAsia" w:ascii="仿宋_GB2312" w:hAnsi="仿宋_GB2312" w:eastAsia="仿宋_GB2312" w:cs="仿宋_GB2312"/>
          <w:b w:val="0"/>
          <w:bCs w:val="0"/>
          <w:sz w:val="32"/>
          <w:szCs w:val="32"/>
        </w:rPr>
        <w:t>小组；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（2）组织相关人员进行培训；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（4）分析资料、汇总评价数据；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（5）填写项目支出绩效单位自评表，撰写绩效自评报告。</w:t>
      </w:r>
    </w:p>
    <w:p>
      <w:pPr>
        <w:spacing w:line="560" w:lineRule="exact"/>
        <w:ind w:left="0" w:leftChars="0" w:firstLine="640" w:firstLineChars="200"/>
        <w:jc w:val="left"/>
        <w:rPr>
          <w:rFonts w:hint="eastAsia" w:ascii="仿宋_GB2312" w:hAnsi="仿宋_GB2312" w:eastAsia="仿宋_GB2312" w:cs="仿宋_GB2312"/>
          <w:bCs/>
          <w:sz w:val="32"/>
          <w:szCs w:val="32"/>
        </w:rPr>
      </w:pPr>
      <w:r>
        <w:rPr>
          <w:rFonts w:hint="eastAsia" w:ascii="黑体" w:hAnsi="黑体" w:eastAsia="黑体" w:cs="黑体"/>
          <w:b w:val="0"/>
          <w:bCs/>
          <w:sz w:val="32"/>
          <w:szCs w:val="32"/>
        </w:rPr>
        <w:t>三、综合评价情况及评价结论</w:t>
      </w:r>
    </w:p>
    <w:p>
      <w:pPr>
        <w:spacing w:line="560" w:lineRule="exact"/>
        <w:ind w:firstLine="640" w:firstLineChars="200"/>
        <w:jc w:val="left"/>
        <w:rPr>
          <w:rFonts w:hint="eastAsia" w:ascii="黑体" w:hAnsi="黑体" w:eastAsia="黑体" w:cs="黑体"/>
          <w:b w:val="0"/>
          <w:bCs/>
          <w:sz w:val="32"/>
          <w:szCs w:val="32"/>
        </w:rPr>
      </w:pPr>
      <w:r>
        <w:rPr>
          <w:rFonts w:hint="eastAsia" w:ascii="仿宋_GB2312" w:hAnsi="仿宋_GB2312" w:eastAsia="仿宋_GB2312" w:cs="仿宋_GB2312"/>
          <w:b w:val="0"/>
          <w:bCs w:val="0"/>
          <w:sz w:val="32"/>
          <w:szCs w:val="32"/>
          <w:lang w:val="en-US" w:eastAsia="zh-CN"/>
        </w:rPr>
        <w:t>2023年安全生产举报奖励资金1.00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全部用于安全生产领域隐患举报奖励，项目资金支出1.05万元，项目完成率105%。</w:t>
      </w:r>
    </w:p>
    <w:p>
      <w:pPr>
        <w:numPr>
          <w:ilvl w:val="0"/>
          <w:numId w:val="2"/>
        </w:numPr>
        <w:spacing w:line="560"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绩效评价指标分析</w:t>
      </w:r>
    </w:p>
    <w:p>
      <w:pPr>
        <w:spacing w:line="560" w:lineRule="exact"/>
        <w:ind w:firstLine="643" w:firstLine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安全生产举报奖励资金严格按照财务制度有关规定拨付和使用。建立台账和财务档案，做到账实相符、账表相符。资金使用经局分管财务领导签字后，财务人员方可支付。</w:t>
      </w:r>
    </w:p>
    <w:p>
      <w:pPr>
        <w:spacing w:line="560" w:lineRule="exact"/>
        <w:ind w:left="0" w:leftChars="0"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（二）项目过程情况。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安全生产举报奖励资金1.00万元，其中0.75万元奖励举报永安焊接材料经营部非法储存氧气、乙炔罐等；0.30万元奖励举报新晃协立模具加工有限公司工人未持特种作业证上岗</w:t>
      </w:r>
      <w:r>
        <w:rPr>
          <w:rFonts w:hint="eastAsia" w:ascii="仿宋_GB2312" w:hAnsi="仿宋_GB2312" w:eastAsia="仿宋_GB2312" w:cs="仿宋_GB2312"/>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sz w:val="32"/>
          <w:szCs w:val="32"/>
          <w:lang w:val="en-US" w:eastAsia="zh-CN"/>
        </w:rPr>
        <w:t>安全生产举报奖励</w:t>
      </w:r>
      <w:r>
        <w:rPr>
          <w:rFonts w:hint="eastAsia" w:ascii="仿宋_GB2312" w:hAnsi="仿宋_GB2312" w:eastAsia="仿宋_GB2312" w:cs="仿宋_GB2312"/>
          <w:b w:val="0"/>
          <w:bCs w:val="0"/>
          <w:color w:val="auto"/>
          <w:sz w:val="32"/>
          <w:szCs w:val="32"/>
        </w:rPr>
        <w:t>项目总投资预算</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val="en-US" w:eastAsia="zh-CN"/>
        </w:rPr>
        <w:t>资金全部用于安全生产领域隐患举报奖励。截止2023年12月31日，项目预算1.00万元资金已拨付到位，决算支出1.05万元，超出预算0.05万元，预算执行率105%。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2023年安全生产举报奖励资金共1.00万元，已使用1.05万元。完成预算数的105%。</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2、经济效益</w:t>
      </w:r>
      <w:r>
        <w:rPr>
          <w:rFonts w:hint="eastAsia" w:ascii="仿宋_GB2312" w:hAnsi="仿宋_GB2312" w:eastAsia="仿宋_GB2312" w:cs="仿宋_GB2312"/>
          <w:sz w:val="32"/>
          <w:szCs w:val="32"/>
          <w:lang w:val="en-US" w:eastAsia="zh-CN"/>
        </w:rPr>
        <w:t>：2023年安全生产举报奖励资金下拨</w:t>
      </w:r>
      <w:r>
        <w:rPr>
          <w:rFonts w:hint="eastAsia" w:ascii="仿宋_GB2312" w:hAnsi="仿宋_GB2312" w:eastAsia="仿宋_GB2312" w:cs="仿宋_GB2312"/>
          <w:sz w:val="32"/>
          <w:szCs w:val="32"/>
          <w:lang w:eastAsia="zh-CN"/>
        </w:rPr>
        <w:t>及时率</w:t>
      </w:r>
      <w:r>
        <w:rPr>
          <w:rFonts w:hint="eastAsia" w:ascii="仿宋_GB2312" w:hAnsi="仿宋_GB2312" w:eastAsia="仿宋_GB2312" w:cs="仿宋_GB2312"/>
          <w:sz w:val="32"/>
          <w:szCs w:val="32"/>
          <w:lang w:val="en-US" w:eastAsia="zh-CN"/>
        </w:rPr>
        <w:t>100%。保障了奖励资金及时兑付</w:t>
      </w:r>
      <w:r>
        <w:rPr>
          <w:rFonts w:hint="eastAsia" w:ascii="仿宋_GB2312" w:hAnsi="仿宋_GB2312" w:eastAsia="仿宋_GB2312" w:cs="仿宋_GB2312"/>
          <w:b w:val="0"/>
          <w:bCs w:val="0"/>
          <w:sz w:val="32"/>
          <w:szCs w:val="32"/>
          <w:lang w:val="en-US" w:eastAsia="zh-CN"/>
        </w:rPr>
        <w:t>，提高了群众安全防范意识。</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可持续性</w:t>
      </w:r>
      <w:r>
        <w:rPr>
          <w:rFonts w:hint="eastAsia" w:ascii="仿宋_GB2312" w:hAnsi="仿宋_GB2312" w:eastAsia="仿宋_GB2312" w:cs="仿宋_GB2312"/>
          <w:b/>
          <w:bCs/>
          <w:sz w:val="32"/>
          <w:szCs w:val="32"/>
        </w:rPr>
        <w:t>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资金支付</w:t>
      </w:r>
      <w:r>
        <w:rPr>
          <w:rFonts w:hint="eastAsia" w:ascii="仿宋_GB2312" w:hAnsi="仿宋_GB2312" w:eastAsia="仿宋_GB2312" w:cs="仿宋_GB2312"/>
          <w:sz w:val="32"/>
          <w:szCs w:val="32"/>
          <w:lang w:eastAsia="zh-CN"/>
        </w:rPr>
        <w:t>完成后，我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eastAsia="zh-CN"/>
        </w:rPr>
        <w:t>积极对</w:t>
      </w:r>
      <w:r>
        <w:rPr>
          <w:rFonts w:hint="eastAsia" w:ascii="仿宋_GB2312" w:hAnsi="仿宋_GB2312" w:eastAsia="仿宋_GB2312" w:cs="仿宋_GB2312"/>
          <w:sz w:val="32"/>
          <w:szCs w:val="32"/>
          <w:lang w:val="en-US" w:eastAsia="zh-CN"/>
        </w:rPr>
        <w:t>资金使用</w:t>
      </w:r>
      <w:r>
        <w:rPr>
          <w:rFonts w:hint="eastAsia" w:ascii="仿宋_GB2312" w:hAnsi="仿宋_GB2312" w:eastAsia="仿宋_GB2312" w:cs="仿宋_GB2312"/>
          <w:sz w:val="32"/>
          <w:szCs w:val="32"/>
          <w:lang w:eastAsia="zh-CN"/>
        </w:rPr>
        <w:t>进行</w:t>
      </w:r>
      <w:r>
        <w:rPr>
          <w:rFonts w:hint="eastAsia" w:ascii="仿宋_GB2312" w:hAnsi="仿宋_GB2312" w:eastAsia="仿宋_GB2312" w:cs="仿宋_GB2312"/>
          <w:sz w:val="32"/>
          <w:szCs w:val="32"/>
          <w:lang w:val="en-US" w:eastAsia="zh-CN"/>
        </w:rPr>
        <w:t>后续跟踪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确保资金专款专用，</w:t>
      </w:r>
      <w:r>
        <w:rPr>
          <w:rFonts w:hint="eastAsia" w:ascii="仿宋_GB2312" w:hAnsi="仿宋_GB2312" w:eastAsia="仿宋_GB2312" w:cs="仿宋_GB2312"/>
          <w:sz w:val="32"/>
          <w:szCs w:val="32"/>
          <w:lang w:eastAsia="zh-CN"/>
        </w:rPr>
        <w:t>保障</w:t>
      </w:r>
      <w:r>
        <w:rPr>
          <w:rFonts w:hint="eastAsia" w:ascii="仿宋_GB2312" w:hAnsi="仿宋_GB2312" w:eastAsia="仿宋_GB2312" w:cs="仿宋_GB2312"/>
          <w:sz w:val="32"/>
          <w:szCs w:val="32"/>
          <w:lang w:val="en-US" w:eastAsia="zh-CN"/>
        </w:rPr>
        <w:t>项目顺利实施</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五、主要经验及做法，存在的问题及原因分析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六、有关建议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七、其他需要说明的问题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由于县级财政资金紧张，项目</w:t>
      </w:r>
      <w:bookmarkStart w:id="0" w:name="_GoBack"/>
      <w:bookmarkEnd w:id="0"/>
      <w:r>
        <w:rPr>
          <w:rFonts w:hint="eastAsia" w:ascii="仿宋_GB2312" w:hAnsi="仿宋_GB2312" w:eastAsia="仿宋_GB2312" w:cs="仿宋_GB2312"/>
          <w:b w:val="0"/>
          <w:bCs w:val="0"/>
          <w:sz w:val="32"/>
          <w:szCs w:val="32"/>
          <w:lang w:val="en-US" w:eastAsia="zh-CN"/>
        </w:rPr>
        <w:t>经费支出额度不匹配，影响项目资金的使用。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新晃侗族自治县应急管理局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2024年4月10日</w:t>
      </w:r>
    </w:p>
    <w:p>
      <w:pPr>
        <w:numPr>
          <w:ilvl w:val="0"/>
          <w:numId w:val="0"/>
        </w:numPr>
        <w:spacing w:line="560" w:lineRule="exact"/>
        <w:ind w:leftChars="200"/>
        <w:jc w:val="left"/>
        <w:rPr>
          <w:rFonts w:hint="eastAsia" w:ascii="黑体" w:hAnsi="黑体" w:eastAsia="黑体" w:cs="黑体"/>
          <w:b w:val="0"/>
          <w:bCs/>
          <w:sz w:val="32"/>
          <w:szCs w:val="32"/>
        </w:rPr>
      </w:pPr>
    </w:p>
    <w:p>
      <w:pPr>
        <w:numPr>
          <w:ilvl w:val="0"/>
          <w:numId w:val="0"/>
        </w:numPr>
        <w:spacing w:line="560" w:lineRule="exact"/>
        <w:ind w:leftChars="200"/>
        <w:jc w:val="left"/>
        <w:rPr>
          <w:rFonts w:hint="eastAsia" w:ascii="黑体" w:hAnsi="黑体" w:eastAsia="黑体" w:cs="黑体"/>
          <w:b w:val="0"/>
          <w:bCs/>
          <w:sz w:val="32"/>
          <w:szCs w:val="32"/>
        </w:rPr>
      </w:pPr>
    </w:p>
    <w:p>
      <w:pPr>
        <w:numPr>
          <w:ilvl w:val="0"/>
          <w:numId w:val="0"/>
        </w:numPr>
        <w:spacing w:line="560" w:lineRule="exact"/>
        <w:ind w:leftChars="200"/>
        <w:jc w:val="left"/>
        <w:rPr>
          <w:rFonts w:hint="eastAsia" w:ascii="黑体" w:hAnsi="黑体" w:eastAsia="黑体" w:cs="黑体"/>
          <w:b w:val="0"/>
          <w:bCs/>
          <w:sz w:val="32"/>
          <w:szCs w:val="32"/>
        </w:rPr>
      </w:pPr>
    </w:p>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2EF652"/>
    <w:multiLevelType w:val="singleLevel"/>
    <w:tmpl w:val="F32EF652"/>
    <w:lvl w:ilvl="0" w:tentative="0">
      <w:start w:val="4"/>
      <w:numFmt w:val="chineseCounting"/>
      <w:suff w:val="nothing"/>
      <w:lvlText w:val="%1、"/>
      <w:lvlJc w:val="left"/>
      <w:rPr>
        <w:rFonts w:hint="eastAsia"/>
      </w:rPr>
    </w:lvl>
  </w:abstractNum>
  <w:abstractNum w:abstractNumId="1">
    <w:nsid w:val="044FD936"/>
    <w:multiLevelType w:val="singleLevel"/>
    <w:tmpl w:val="044FD93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NmI3YjcxYTM4YTVhYzE4YTIzM2VmZWFkYTIwZTYifQ=="/>
  </w:docVars>
  <w:rsids>
    <w:rsidRoot w:val="347D300C"/>
    <w:rsid w:val="0E84119D"/>
    <w:rsid w:val="18D52CB9"/>
    <w:rsid w:val="347D300C"/>
    <w:rsid w:val="5D635A94"/>
    <w:rsid w:val="77285509"/>
    <w:rsid w:val="7893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2024-04-09T01:21:00Z</dcterms:created>
  <dc:creator>6105</dc:creator>
  <cp:lastModifiedBy>6105</cp:lastModifiedBy>
  <dcterms:modified xsi:type="dcterms:W3CDTF">2024-04-09T07:12:58Z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803CA631CD2C42EFBEA0630393FB8DF5_11</vt:lpwstr>
  </property>
</Properties>
</file>