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0"/>
        <w:jc w:val="left"/>
        <w:rPr>
          <w:b/>
          <w:sz w:val="24"/>
        </w:rPr>
      </w:pPr>
      <w:r>
        <w:rPr>
          <w:rFonts w:hint="eastAsia" w:ascii="仿宋_GB2312" w:hAnsi="仿宋_GB2312" w:eastAsia="仿宋_GB2312" w:cs="仿宋_GB2312"/>
          <w:b/>
          <w:sz w:val="24"/>
        </w:rPr>
        <w:t>附件1-1</w:t>
      </w:r>
    </w:p>
    <w:p>
      <w:pPr>
        <w:spacing w:line="500" w:lineRule="exact"/>
        <w:jc w:val="center"/>
        <w:rPr>
          <w:rFonts w:hint="eastAsia" w:ascii="宋体" w:hAnsi="宋体"/>
          <w:b/>
          <w:w w:val="85"/>
          <w:sz w:val="36"/>
          <w:szCs w:val="36"/>
        </w:rPr>
      </w:pPr>
      <w:r>
        <w:rPr>
          <w:rFonts w:hint="eastAsia" w:ascii="宋体" w:hAnsi="宋体"/>
          <w:b/>
          <w:w w:val="85"/>
          <w:sz w:val="36"/>
          <w:szCs w:val="36"/>
          <w:lang w:eastAsia="zh-CN"/>
        </w:rPr>
        <w:t>2023</w:t>
      </w:r>
      <w:r>
        <w:rPr>
          <w:rFonts w:ascii="宋体" w:hAnsi="宋体"/>
          <w:b/>
          <w:w w:val="85"/>
          <w:sz w:val="36"/>
          <w:szCs w:val="36"/>
        </w:rPr>
        <w:t>年度新晃县</w:t>
      </w:r>
      <w:r>
        <w:rPr>
          <w:rFonts w:hint="eastAsia" w:ascii="宋体" w:hAnsi="宋体"/>
          <w:b/>
          <w:w w:val="85"/>
          <w:sz w:val="36"/>
          <w:szCs w:val="36"/>
          <w:lang w:val="en-US" w:eastAsia="zh-CN"/>
        </w:rPr>
        <w:t>应急管理局</w:t>
      </w:r>
      <w:r>
        <w:rPr>
          <w:rFonts w:ascii="宋体" w:hAnsi="宋体"/>
          <w:b/>
          <w:w w:val="85"/>
          <w:sz w:val="36"/>
          <w:szCs w:val="36"/>
        </w:rPr>
        <w:t>（单位）整体支出绩效</w:t>
      </w:r>
      <w:r>
        <w:rPr>
          <w:rFonts w:hint="eastAsia" w:ascii="宋体" w:hAnsi="宋体"/>
          <w:b/>
          <w:w w:val="85"/>
          <w:sz w:val="36"/>
          <w:szCs w:val="36"/>
        </w:rPr>
        <w:t>自评表</w:t>
      </w:r>
    </w:p>
    <w:tbl>
      <w:tblPr>
        <w:tblStyle w:val="4"/>
        <w:tblW w:w="14417" w:type="dxa"/>
        <w:jc w:val="center"/>
        <w:tblCellSpacing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079"/>
        <w:gridCol w:w="1179"/>
        <w:gridCol w:w="1226"/>
        <w:gridCol w:w="701"/>
        <w:gridCol w:w="4750"/>
        <w:gridCol w:w="3123"/>
        <w:gridCol w:w="1551"/>
        <w:gridCol w:w="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35" w:hRule="atLeast"/>
          <w:tblHeader/>
          <w:tblCellSpacing w:w="0" w:type="dxa"/>
          <w:jc w:val="center"/>
        </w:trPr>
        <w:tc>
          <w:tcPr>
            <w:tcW w:w="1079"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一级指标</w:t>
            </w:r>
          </w:p>
        </w:tc>
        <w:tc>
          <w:tcPr>
            <w:tcW w:w="1179"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二级指标</w:t>
            </w: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三级指标</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分值</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指标内容</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指标评价标</w:t>
            </w:r>
            <w:r>
              <w:rPr>
                <w:rFonts w:hint="eastAsia" w:eastAsia="楷体_GB2312"/>
              </w:rPr>
              <w:t>准</w:t>
            </w:r>
            <w:r>
              <w:rPr>
                <w:rFonts w:eastAsia="楷体_GB2312"/>
              </w:rPr>
              <w:t>及对应分值</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left="0"/>
              <w:jc w:val="center"/>
              <w:textAlignment w:val="bottom"/>
              <w:rPr>
                <w:rFonts w:eastAsia="楷体_GB2312"/>
              </w:rPr>
            </w:pPr>
            <w:r>
              <w:rPr>
                <w:rFonts w:eastAsia="楷体_GB2312"/>
              </w:rPr>
              <w:t>指标实际完成情况及依据</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jc w:val="center"/>
              <w:textAlignment w:val="bottom"/>
              <w:rPr>
                <w:rFonts w:eastAsia="楷体_GB2312"/>
              </w:rPr>
            </w:pPr>
            <w:r>
              <w:rPr>
                <w:rFonts w:eastAsia="楷体_GB2312"/>
              </w:rPr>
              <w:t>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投入</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14</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预算编制(共</w:t>
            </w:r>
            <w:r>
              <w:rPr>
                <w:rFonts w:hint="eastAsia" w:eastAsia="楷体_GB2312"/>
                <w:sz w:val="18"/>
                <w:szCs w:val="18"/>
              </w:rPr>
              <w:t>5</w:t>
            </w:r>
            <w:r>
              <w:rPr>
                <w:rFonts w:eastAsia="楷体_GB2312"/>
                <w:sz w:val="18"/>
                <w:szCs w:val="18"/>
              </w:rPr>
              <w:t>分)</w:t>
            </w: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整体绩效</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设有整体绩效目标</w:t>
            </w:r>
            <w:r>
              <w:rPr>
                <w:rFonts w:hint="eastAsia" w:eastAsia="楷体_GB2312"/>
                <w:sz w:val="18"/>
                <w:szCs w:val="18"/>
              </w:rPr>
              <w:t>1</w:t>
            </w:r>
            <w:r>
              <w:rPr>
                <w:rFonts w:eastAsia="楷体_GB2312"/>
                <w:sz w:val="18"/>
                <w:szCs w:val="18"/>
              </w:rPr>
              <w:t>分；目标设定依据充分符合客观实际</w:t>
            </w:r>
            <w:r>
              <w:rPr>
                <w:rFonts w:hint="eastAsia" w:eastAsia="楷体_GB2312"/>
                <w:sz w:val="18"/>
                <w:szCs w:val="18"/>
              </w:rPr>
              <w:t>0.5</w:t>
            </w:r>
            <w:r>
              <w:rPr>
                <w:rFonts w:eastAsia="楷体_GB2312"/>
                <w:sz w:val="18"/>
                <w:szCs w:val="18"/>
              </w:rPr>
              <w:t>分；目标清晰、细化</w:t>
            </w:r>
            <w:r>
              <w:rPr>
                <w:rFonts w:hint="eastAsia" w:eastAsia="楷体_GB2312"/>
                <w:sz w:val="18"/>
                <w:szCs w:val="18"/>
              </w:rPr>
              <w:t>0.5</w:t>
            </w:r>
            <w:r>
              <w:rPr>
                <w:rFonts w:eastAsia="楷体_GB2312"/>
                <w:sz w:val="18"/>
                <w:szCs w:val="18"/>
              </w:rPr>
              <w:t>分；目标可衡量</w:t>
            </w:r>
            <w:r>
              <w:rPr>
                <w:rFonts w:hint="eastAsia" w:eastAsia="楷体_GB2312"/>
                <w:sz w:val="18"/>
                <w:szCs w:val="18"/>
              </w:rPr>
              <w:t>0.5</w:t>
            </w:r>
            <w:r>
              <w:rPr>
                <w:rFonts w:eastAsia="楷体_GB2312"/>
                <w:sz w:val="18"/>
                <w:szCs w:val="18"/>
              </w:rPr>
              <w:t>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绩效目标设定</w:t>
            </w:r>
            <w:r>
              <w:rPr>
                <w:rFonts w:eastAsia="楷体_GB2312"/>
                <w:sz w:val="18"/>
                <w:szCs w:val="18"/>
              </w:rPr>
              <w:t>清晰</w:t>
            </w:r>
            <w:r>
              <w:rPr>
                <w:rFonts w:hint="eastAsia" w:eastAsia="楷体_GB2312"/>
                <w:sz w:val="18"/>
                <w:szCs w:val="18"/>
                <w:lang w:eastAsia="zh-CN"/>
              </w:rPr>
              <w:t>，</w:t>
            </w:r>
            <w:r>
              <w:rPr>
                <w:rFonts w:hint="eastAsia" w:eastAsia="楷体_GB2312"/>
                <w:sz w:val="18"/>
                <w:szCs w:val="18"/>
                <w:lang w:val="en-US" w:eastAsia="zh-CN"/>
              </w:rPr>
              <w:t>依据充分。</w:t>
            </w:r>
          </w:p>
        </w:tc>
        <w:tc>
          <w:tcPr>
            <w:tcW w:w="808"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6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项目绩效</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目标设定</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2.</w:t>
            </w:r>
            <w:r>
              <w:rPr>
                <w:rFonts w:eastAsia="楷体_GB2312"/>
                <w:sz w:val="18"/>
                <w:szCs w:val="18"/>
              </w:rPr>
              <w:t>5</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项目均设有绩效目标</w:t>
            </w:r>
            <w:r>
              <w:rPr>
                <w:rFonts w:hint="eastAsia" w:eastAsia="楷体_GB2312"/>
                <w:sz w:val="18"/>
                <w:szCs w:val="18"/>
              </w:rPr>
              <w:t>0.5</w:t>
            </w:r>
            <w:r>
              <w:rPr>
                <w:rFonts w:eastAsia="楷体_GB2312"/>
                <w:sz w:val="18"/>
                <w:szCs w:val="18"/>
              </w:rPr>
              <w:t>分；目标科学合理</w:t>
            </w:r>
            <w:r>
              <w:rPr>
                <w:rFonts w:hint="eastAsia" w:eastAsia="楷体_GB2312"/>
                <w:sz w:val="18"/>
                <w:szCs w:val="18"/>
              </w:rPr>
              <w:t>0.5</w:t>
            </w:r>
            <w:r>
              <w:rPr>
                <w:rFonts w:eastAsia="楷体_GB2312"/>
                <w:sz w:val="18"/>
                <w:szCs w:val="18"/>
              </w:rPr>
              <w:t>分；目标明确</w:t>
            </w:r>
            <w:r>
              <w:rPr>
                <w:rFonts w:hint="eastAsia" w:eastAsia="楷体_GB2312"/>
                <w:sz w:val="18"/>
                <w:szCs w:val="18"/>
              </w:rPr>
              <w:t>0.5</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目标细化</w:t>
            </w:r>
            <w:r>
              <w:rPr>
                <w:rFonts w:hint="eastAsia" w:eastAsia="楷体_GB2312"/>
                <w:sz w:val="18"/>
                <w:szCs w:val="18"/>
              </w:rPr>
              <w:t>0.5</w:t>
            </w:r>
            <w:r>
              <w:rPr>
                <w:rFonts w:eastAsia="楷体_GB2312"/>
                <w:sz w:val="18"/>
                <w:szCs w:val="18"/>
              </w:rPr>
              <w:t>分；目标量化</w:t>
            </w:r>
            <w:r>
              <w:rPr>
                <w:rFonts w:hint="eastAsia" w:eastAsia="楷体_GB2312"/>
                <w:sz w:val="18"/>
                <w:szCs w:val="18"/>
              </w:rPr>
              <w:t>0.5</w:t>
            </w:r>
            <w:r>
              <w:rPr>
                <w:rFonts w:eastAsia="楷体_GB2312"/>
                <w:sz w:val="18"/>
                <w:szCs w:val="18"/>
              </w:rPr>
              <w:t>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项目绩效目标明确，科学合理。</w:t>
            </w:r>
          </w:p>
        </w:tc>
        <w:tc>
          <w:tcPr>
            <w:tcW w:w="808" w:type="dxa"/>
            <w:noWrap w:val="0"/>
            <w:tcMar>
              <w:top w:w="0" w:type="dxa"/>
              <w:left w:w="105" w:type="dxa"/>
              <w:bottom w:w="0" w:type="dxa"/>
              <w:right w:w="105" w:type="dxa"/>
            </w:tcMar>
            <w:vAlign w:val="center"/>
          </w:tcPr>
          <w:p>
            <w:pPr>
              <w:jc w:val="center"/>
              <w:rPr>
                <w:rFonts w:hint="default" w:eastAsia="楷体_GB2312"/>
                <w:lang w:val="en-US" w:eastAsia="zh-CN"/>
              </w:rPr>
            </w:pPr>
            <w:r>
              <w:rPr>
                <w:rFonts w:hint="eastAsia" w:eastAsia="楷体_GB2312"/>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7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预算配置(共</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在职人员</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在职人员控制率=[在职人员数/编制数]×100%</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在职人员数：部门实际在职人数，以财政确定的部门决算编制口径为准，结合工资发放表上的年平均人数。</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bottom"/>
              <w:rPr>
                <w:rFonts w:eastAsia="楷体_GB2312"/>
                <w:sz w:val="18"/>
                <w:szCs w:val="18"/>
              </w:rPr>
            </w:pPr>
            <w:r>
              <w:rPr>
                <w:rFonts w:eastAsia="楷体_GB2312"/>
                <w:sz w:val="18"/>
                <w:szCs w:val="18"/>
              </w:rPr>
              <w:t>结果≤100%，得3分；</w:t>
            </w:r>
          </w:p>
          <w:p>
            <w:pPr>
              <w:keepNext w:val="0"/>
              <w:keepLines w:val="0"/>
              <w:pageBreakBefore w:val="0"/>
              <w:widowControl w:val="0"/>
              <w:kinsoku/>
              <w:wordWrap/>
              <w:overflowPunct/>
              <w:topLinePunct w:val="0"/>
              <w:autoSpaceDE/>
              <w:autoSpaceDN/>
              <w:bidi w:val="0"/>
              <w:adjustRightInd/>
              <w:snapToGrid/>
              <w:spacing w:line="240" w:lineRule="exact"/>
              <w:jc w:val="left"/>
              <w:textAlignment w:val="bottom"/>
              <w:rPr>
                <w:rFonts w:eastAsia="楷体_GB2312"/>
                <w:sz w:val="18"/>
                <w:szCs w:val="18"/>
              </w:rPr>
            </w:pPr>
            <w:r>
              <w:rPr>
                <w:rFonts w:eastAsia="楷体_GB2312"/>
                <w:sz w:val="18"/>
                <w:szCs w:val="18"/>
              </w:rPr>
              <w:t>结果＞100%，得0分。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hint="eastAsia" w:eastAsia="楷体_GB2312"/>
                <w:sz w:val="18"/>
                <w:szCs w:val="18"/>
                <w:lang w:val="en-US" w:eastAsia="zh-CN"/>
              </w:rPr>
              <w:t>行政编制14人实有11人，</w:t>
            </w:r>
            <w:r>
              <w:rPr>
                <w:rFonts w:eastAsia="楷体_GB2312"/>
                <w:sz w:val="18"/>
                <w:szCs w:val="18"/>
              </w:rPr>
              <w:t>≤100%</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default" w:eastAsia="楷体_GB2312"/>
                <w:sz w:val="18"/>
                <w:szCs w:val="18"/>
                <w:lang w:val="en-US" w:eastAsia="zh-CN"/>
              </w:rPr>
            </w:pPr>
            <w:r>
              <w:rPr>
                <w:rFonts w:hint="eastAsia" w:eastAsia="楷体_GB2312"/>
                <w:sz w:val="18"/>
                <w:szCs w:val="18"/>
                <w:lang w:val="en-US" w:eastAsia="zh-CN"/>
              </w:rPr>
              <w:t>事业编制20人实有18人，</w:t>
            </w:r>
            <w:r>
              <w:rPr>
                <w:rFonts w:eastAsia="楷体_GB2312"/>
                <w:sz w:val="18"/>
                <w:szCs w:val="18"/>
              </w:rPr>
              <w:t>≤100%</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4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三公经费</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变动率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3</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ascii="Times New Roman" w:hAnsi="Times New Roman" w:eastAsia="楷体_GB2312" w:cs="Times New Roman"/>
                <w:sz w:val="18"/>
                <w:szCs w:val="18"/>
              </w:rPr>
            </w:pPr>
            <w:r>
              <w:rPr>
                <w:rFonts w:ascii="Times New Roman" w:hAnsi="Times New Roman" w:eastAsia="楷体_GB2312" w:cs="Times New Roman"/>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bottom"/>
              <w:rPr>
                <w:rFonts w:eastAsia="楷体_GB2312"/>
                <w:sz w:val="18"/>
                <w:szCs w:val="18"/>
              </w:rPr>
            </w:pPr>
            <w:r>
              <w:rPr>
                <w:rFonts w:eastAsia="楷体_GB2312"/>
                <w:sz w:val="18"/>
                <w:szCs w:val="18"/>
              </w:rPr>
              <w:t>结果≤100%，得3分；</w:t>
            </w:r>
          </w:p>
          <w:p>
            <w:pPr>
              <w:keepNext w:val="0"/>
              <w:keepLines w:val="0"/>
              <w:pageBreakBefore w:val="0"/>
              <w:widowControl w:val="0"/>
              <w:kinsoku/>
              <w:wordWrap/>
              <w:overflowPunct/>
              <w:topLinePunct w:val="0"/>
              <w:autoSpaceDE/>
              <w:autoSpaceDN/>
              <w:bidi w:val="0"/>
              <w:adjustRightInd/>
              <w:snapToGrid/>
              <w:spacing w:line="240" w:lineRule="exact"/>
              <w:jc w:val="left"/>
              <w:textAlignment w:val="bottom"/>
              <w:rPr>
                <w:rFonts w:eastAsia="楷体_GB2312"/>
                <w:sz w:val="18"/>
                <w:szCs w:val="18"/>
              </w:rPr>
            </w:pPr>
            <w:r>
              <w:rPr>
                <w:rFonts w:eastAsia="楷体_GB2312"/>
                <w:sz w:val="18"/>
                <w:szCs w:val="18"/>
              </w:rPr>
              <w:t>结果＞100%，得0分。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hint="eastAsia" w:eastAsia="楷体_GB2312"/>
                <w:sz w:val="18"/>
                <w:szCs w:val="18"/>
                <w:lang w:val="en-US" w:eastAsia="zh-CN"/>
              </w:rPr>
              <w:t>2024与2023年持平，</w:t>
            </w:r>
            <w:r>
              <w:rPr>
                <w:rFonts w:eastAsia="楷体_GB2312"/>
                <w:sz w:val="18"/>
                <w:szCs w:val="18"/>
              </w:rPr>
              <w:t>≤100%</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15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重点项目预算保障率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top"/>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重点项目预算保障率=（重点项目预算/项目总预算）×100%。</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结果≥80%，得</w:t>
            </w:r>
            <w:r>
              <w:rPr>
                <w:rFonts w:hint="eastAsia" w:eastAsia="楷体_GB2312"/>
                <w:sz w:val="18"/>
                <w:szCs w:val="18"/>
              </w:rPr>
              <w:t>3</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80%＞结果≥60%，得2分；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结果＜60%，得0分。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eastAsia" w:eastAsia="楷体_GB2312"/>
                <w:sz w:val="18"/>
                <w:szCs w:val="18"/>
                <w:lang w:val="en-US" w:eastAsia="zh-CN"/>
              </w:rPr>
            </w:pPr>
            <w:r>
              <w:rPr>
                <w:rFonts w:hint="eastAsia" w:eastAsia="楷体_GB2312"/>
                <w:sz w:val="18"/>
                <w:szCs w:val="18"/>
                <w:lang w:val="en-US" w:eastAsia="zh-CN"/>
              </w:rPr>
              <w:t>无重点项目</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72"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过程</w:t>
            </w:r>
          </w:p>
          <w:p>
            <w:pPr>
              <w:spacing w:before="100" w:beforeAutospacing="1" w:after="100" w:afterAutospacing="1"/>
              <w:jc w:val="center"/>
              <w:rPr>
                <w:rFonts w:eastAsia="楷体_GB2312"/>
                <w:sz w:val="18"/>
                <w:szCs w:val="18"/>
              </w:rPr>
            </w:pPr>
            <w:r>
              <w:rPr>
                <w:rFonts w:eastAsia="楷体_GB2312"/>
                <w:sz w:val="18"/>
                <w:szCs w:val="18"/>
              </w:rPr>
              <w:t>(共</w:t>
            </w:r>
            <w:r>
              <w:rPr>
                <w:rFonts w:hint="eastAsia" w:eastAsia="楷体_GB2312"/>
                <w:sz w:val="18"/>
                <w:szCs w:val="18"/>
              </w:rPr>
              <w:t>26</w:t>
            </w:r>
            <w:r>
              <w:rPr>
                <w:rFonts w:eastAsia="楷体_GB2312"/>
                <w:sz w:val="18"/>
                <w:szCs w:val="18"/>
              </w:rPr>
              <w:t>分)</w:t>
            </w:r>
          </w:p>
        </w:tc>
        <w:tc>
          <w:tcPr>
            <w:tcW w:w="1179" w:type="dxa"/>
            <w:vMerge w:val="restart"/>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exact"/>
              <w:ind w:left="0"/>
              <w:jc w:val="center"/>
              <w:textAlignment w:val="bottom"/>
              <w:rPr>
                <w:rFonts w:eastAsia="楷体_GB2312"/>
                <w:sz w:val="18"/>
                <w:szCs w:val="18"/>
              </w:rPr>
            </w:pPr>
            <w:r>
              <w:rPr>
                <w:rFonts w:eastAsia="楷体_GB2312"/>
                <w:sz w:val="18"/>
                <w:szCs w:val="18"/>
              </w:rPr>
              <w:t>预算执行（1</w:t>
            </w:r>
            <w:r>
              <w:rPr>
                <w:rFonts w:hint="eastAsia" w:eastAsia="楷体_GB2312"/>
                <w:sz w:val="18"/>
                <w:szCs w:val="18"/>
              </w:rPr>
              <w:t>2</w:t>
            </w:r>
            <w:r>
              <w:rPr>
                <w:rFonts w:eastAsia="楷体_GB2312"/>
                <w:sz w:val="18"/>
                <w:szCs w:val="18"/>
              </w:rPr>
              <w:t>分）</w:t>
            </w: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项目预算执行率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项目预算执行率=[项目预算执行数/项目预算]×100%。</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项目预算执行数：部门本年度实际执行的项目预算。</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95%≤结果≤100%，得</w:t>
            </w:r>
            <w:r>
              <w:rPr>
                <w:rFonts w:hint="eastAsia" w:eastAsia="楷体_GB2312"/>
                <w:sz w:val="18"/>
                <w:szCs w:val="18"/>
              </w:rPr>
              <w:t>3</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90%≤结果＜95%，得</w:t>
            </w:r>
            <w:r>
              <w:rPr>
                <w:rFonts w:hint="eastAsia" w:eastAsia="楷体_GB2312"/>
                <w:sz w:val="18"/>
                <w:szCs w:val="18"/>
              </w:rPr>
              <w:t>2</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80%≤结果＜90%，得1分；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pacing w:val="-20"/>
                <w:sz w:val="18"/>
                <w:szCs w:val="18"/>
              </w:rPr>
            </w:pPr>
            <w:r>
              <w:rPr>
                <w:rFonts w:eastAsia="楷体_GB2312"/>
                <w:sz w:val="18"/>
                <w:szCs w:val="18"/>
              </w:rPr>
              <w:t>结果＜80%，得0分。</w:t>
            </w:r>
          </w:p>
        </w:tc>
        <w:tc>
          <w:tcPr>
            <w:tcW w:w="1551" w:type="dxa"/>
            <w:noWrap w:val="0"/>
            <w:tcMar>
              <w:top w:w="0" w:type="dxa"/>
              <w:left w:w="105" w:type="dxa"/>
              <w:bottom w:w="0" w:type="dxa"/>
              <w:right w:w="105" w:type="dxa"/>
            </w:tcMar>
            <w:vAlign w:val="top"/>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default" w:eastAsia="楷体_GB2312"/>
                <w:sz w:val="18"/>
                <w:szCs w:val="18"/>
                <w:lang w:val="en-US" w:eastAsia="zh-CN"/>
              </w:rPr>
            </w:pPr>
            <w:r>
              <w:rPr>
                <w:rFonts w:hint="eastAsia" w:eastAsia="楷体_GB2312"/>
                <w:sz w:val="18"/>
                <w:szCs w:val="18"/>
                <w:lang w:val="en-US" w:eastAsia="zh-CN"/>
              </w:rPr>
              <w:t>预算项目中，除森林防火项目分值低于90分外，其余项目100%。</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预算</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调整率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预算调整率=[预算调整数/预算数]×100%</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结果≤5%，得</w:t>
            </w:r>
            <w:r>
              <w:rPr>
                <w:rFonts w:hint="eastAsia" w:eastAsia="楷体_GB2312"/>
                <w:sz w:val="18"/>
                <w:szCs w:val="18"/>
              </w:rPr>
              <w:t>2</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5%＜结果≤10%，得1分；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结果＞10%，得0分。</w:t>
            </w:r>
          </w:p>
        </w:tc>
        <w:tc>
          <w:tcPr>
            <w:tcW w:w="1551" w:type="dxa"/>
            <w:noWrap w:val="0"/>
            <w:tcMar>
              <w:top w:w="0" w:type="dxa"/>
              <w:left w:w="105" w:type="dxa"/>
              <w:bottom w:w="0" w:type="dxa"/>
              <w:right w:w="105" w:type="dxa"/>
            </w:tcMar>
            <w:vAlign w:val="top"/>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lang w:val="en-US" w:eastAsia="zh-CN"/>
              </w:rPr>
            </w:pPr>
            <w:r>
              <w:rPr>
                <w:rFonts w:hint="eastAsia" w:eastAsia="楷体_GB2312"/>
                <w:sz w:val="18"/>
                <w:szCs w:val="18"/>
                <w:lang w:val="en-US" w:eastAsia="zh-CN"/>
              </w:rPr>
              <w:t>本年度没有涉及项目预算的追加、追减或结构调整。</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3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公用经费控制率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结果≤100%，得</w:t>
            </w:r>
            <w:r>
              <w:rPr>
                <w:rFonts w:hint="eastAsia" w:eastAsia="楷体_GB2312"/>
                <w:sz w:val="18"/>
                <w:szCs w:val="18"/>
              </w:rPr>
              <w:t>3</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结果＞100%，得0分。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三公经费完全控制在预算内</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pacing w:val="-20"/>
                <w:sz w:val="18"/>
                <w:szCs w:val="18"/>
              </w:rPr>
            </w:pPr>
            <w:r>
              <w:rPr>
                <w:rFonts w:eastAsia="楷体_GB2312"/>
                <w:spacing w:val="-20"/>
                <w:sz w:val="18"/>
                <w:szCs w:val="18"/>
              </w:rPr>
              <w:t>“</w:t>
            </w:r>
            <w:r>
              <w:rPr>
                <w:rFonts w:eastAsia="楷体_GB2312"/>
                <w:sz w:val="18"/>
                <w:szCs w:val="18"/>
              </w:rPr>
              <w:t>三公经费”控制率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结果≤100%，得</w:t>
            </w:r>
            <w:r>
              <w:rPr>
                <w:rFonts w:hint="eastAsia" w:eastAsia="楷体_GB2312"/>
                <w:sz w:val="18"/>
                <w:szCs w:val="18"/>
              </w:rPr>
              <w:t>2</w:t>
            </w:r>
            <w:r>
              <w:rPr>
                <w:rFonts w:eastAsia="楷体_GB2312"/>
                <w:sz w:val="18"/>
                <w:szCs w:val="18"/>
              </w:rPr>
              <w:t>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结果＞100%，得0分。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“三公经费”控制在预算数内，占全年的58.35%</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96"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政府采购</w:t>
            </w:r>
          </w:p>
          <w:p>
            <w:pPr>
              <w:spacing w:line="300" w:lineRule="exact"/>
              <w:jc w:val="center"/>
              <w:rPr>
                <w:rFonts w:eastAsia="楷体_GB2312"/>
                <w:sz w:val="18"/>
                <w:szCs w:val="18"/>
              </w:rPr>
            </w:pPr>
            <w:r>
              <w:rPr>
                <w:rFonts w:eastAsia="楷体_GB2312"/>
                <w:sz w:val="18"/>
                <w:szCs w:val="18"/>
              </w:rPr>
              <w:t>完成率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政府采购完成率=（政府采购完成项目数/政府采购预算项目数）×100%；</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rPr>
            </w:pPr>
            <w:r>
              <w:rPr>
                <w:rFonts w:eastAsia="楷体_GB2312"/>
                <w:sz w:val="18"/>
                <w:szCs w:val="18"/>
              </w:rPr>
              <w:t>完成率</w:t>
            </w:r>
            <w:r>
              <w:rPr>
                <w:rFonts w:hint="eastAsia" w:ascii="宋体" w:hAnsi="宋体" w:cs="宋体"/>
                <w:sz w:val="18"/>
                <w:szCs w:val="18"/>
              </w:rPr>
              <w:t>≧</w:t>
            </w:r>
            <w:r>
              <w:rPr>
                <w:rFonts w:hint="eastAsia" w:eastAsia="楷体_GB2312"/>
                <w:sz w:val="18"/>
                <w:szCs w:val="18"/>
              </w:rPr>
              <w:t>8</w:t>
            </w:r>
            <w:r>
              <w:rPr>
                <w:rFonts w:eastAsia="楷体_GB2312"/>
                <w:sz w:val="18"/>
                <w:szCs w:val="18"/>
              </w:rPr>
              <w:t>0%，得</w:t>
            </w:r>
            <w:r>
              <w:rPr>
                <w:rFonts w:hint="eastAsia" w:eastAsia="楷体_GB2312"/>
                <w:sz w:val="18"/>
                <w:szCs w:val="18"/>
              </w:rPr>
              <w:t>2</w:t>
            </w:r>
            <w:r>
              <w:rPr>
                <w:rFonts w:eastAsia="楷体_GB2312"/>
                <w:sz w:val="18"/>
                <w:szCs w:val="18"/>
              </w:rPr>
              <w:t>分</w:t>
            </w:r>
            <w:r>
              <w:rPr>
                <w:rFonts w:hint="eastAsia" w:eastAsia="楷体_GB2312"/>
                <w:sz w:val="18"/>
                <w:szCs w:val="18"/>
              </w:rPr>
              <w:t>；</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hint="eastAsia" w:eastAsia="楷体_GB2312"/>
                <w:sz w:val="18"/>
                <w:szCs w:val="18"/>
              </w:rPr>
              <w:t>80%</w:t>
            </w:r>
            <w:r>
              <w:rPr>
                <w:rFonts w:eastAsia="楷体_GB2312"/>
                <w:sz w:val="18"/>
                <w:szCs w:val="18"/>
              </w:rPr>
              <w:t>&gt;完成率</w:t>
            </w:r>
            <w:r>
              <w:rPr>
                <w:rFonts w:hint="eastAsia" w:eastAsia="楷体_GB2312"/>
                <w:sz w:val="18"/>
                <w:szCs w:val="18"/>
              </w:rPr>
              <w:t>≧60%，得1分；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完成率＜</w:t>
            </w:r>
            <w:r>
              <w:rPr>
                <w:rFonts w:hint="eastAsia" w:eastAsia="楷体_GB2312"/>
                <w:sz w:val="18"/>
                <w:szCs w:val="18"/>
              </w:rPr>
              <w:t>6</w:t>
            </w:r>
            <w:r>
              <w:rPr>
                <w:rFonts w:eastAsia="楷体_GB2312"/>
                <w:sz w:val="18"/>
                <w:szCs w:val="18"/>
              </w:rPr>
              <w:t>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所有项目均通过政府采购平台</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6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left="0"/>
              <w:jc w:val="center"/>
              <w:textAlignment w:val="bottom"/>
              <w:rPr>
                <w:rFonts w:eastAsia="楷体_GB2312"/>
                <w:sz w:val="18"/>
                <w:szCs w:val="18"/>
              </w:rPr>
            </w:pPr>
            <w:r>
              <w:rPr>
                <w:rFonts w:eastAsia="楷体_GB2312"/>
                <w:sz w:val="18"/>
                <w:szCs w:val="18"/>
              </w:rPr>
              <w:t>预算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left="0"/>
              <w:jc w:val="center"/>
              <w:textAlignment w:val="bottom"/>
              <w:rPr>
                <w:rFonts w:eastAsia="楷体_GB2312"/>
                <w:sz w:val="18"/>
                <w:szCs w:val="18"/>
              </w:rPr>
            </w:pPr>
            <w:r>
              <w:rPr>
                <w:rFonts w:eastAsia="楷体_GB2312"/>
                <w:sz w:val="18"/>
                <w:szCs w:val="18"/>
              </w:rPr>
              <w:t>管理（</w:t>
            </w:r>
            <w:r>
              <w:rPr>
                <w:rFonts w:hint="eastAsia" w:eastAsia="楷体_GB2312"/>
                <w:sz w:val="18"/>
                <w:szCs w:val="18"/>
              </w:rPr>
              <w:t>9</w:t>
            </w:r>
            <w:r>
              <w:rPr>
                <w:rFonts w:eastAsia="楷体_GB2312"/>
                <w:sz w:val="18"/>
                <w:szCs w:val="18"/>
              </w:rPr>
              <w:t>分）</w:t>
            </w:r>
          </w:p>
        </w:tc>
        <w:tc>
          <w:tcPr>
            <w:tcW w:w="1226" w:type="dxa"/>
            <w:noWrap w:val="0"/>
            <w:tcMar>
              <w:top w:w="0" w:type="dxa"/>
              <w:left w:w="105" w:type="dxa"/>
              <w:bottom w:w="0" w:type="dxa"/>
              <w:right w:w="105" w:type="dxa"/>
            </w:tcMar>
            <w:vAlign w:val="center"/>
          </w:tcPr>
          <w:p>
            <w:pPr>
              <w:spacing w:line="280" w:lineRule="exact"/>
              <w:jc w:val="center"/>
              <w:rPr>
                <w:rFonts w:eastAsia="楷体_GB2312"/>
                <w:sz w:val="18"/>
                <w:szCs w:val="18"/>
              </w:rPr>
            </w:pPr>
            <w:r>
              <w:rPr>
                <w:rFonts w:eastAsia="楷体_GB2312"/>
                <w:sz w:val="18"/>
                <w:szCs w:val="18"/>
              </w:rPr>
              <w:t>资金管理</w:t>
            </w:r>
          </w:p>
          <w:p>
            <w:pPr>
              <w:spacing w:line="280" w:lineRule="exact"/>
              <w:jc w:val="center"/>
              <w:rPr>
                <w:rFonts w:eastAsia="楷体_GB2312"/>
                <w:sz w:val="18"/>
                <w:szCs w:val="18"/>
              </w:rPr>
            </w:pPr>
            <w:r>
              <w:rPr>
                <w:rFonts w:eastAsia="楷体_GB2312"/>
                <w:sz w:val="18"/>
                <w:szCs w:val="18"/>
              </w:rPr>
              <w:t>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每发现一项问题，扣1分，扣完为止。</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lang w:val="en-US" w:eastAsia="zh-CN"/>
              </w:rPr>
            </w:pPr>
            <w:r>
              <w:rPr>
                <w:rFonts w:hint="eastAsia" w:eastAsia="楷体_GB2312"/>
                <w:sz w:val="18"/>
                <w:szCs w:val="18"/>
                <w:lang w:val="en-US" w:eastAsia="zh-CN"/>
              </w:rPr>
              <w:t>制度健全并严格执行。</w:t>
            </w:r>
          </w:p>
        </w:tc>
        <w:tc>
          <w:tcPr>
            <w:tcW w:w="808" w:type="dxa"/>
            <w:vMerge w:val="restart"/>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134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合规性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3</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pacing w:val="-20"/>
                <w:sz w:val="18"/>
                <w:szCs w:val="18"/>
              </w:rPr>
            </w:pPr>
            <w:r>
              <w:rPr>
                <w:rFonts w:eastAsia="楷体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合规率100%得</w:t>
            </w:r>
            <w:r>
              <w:rPr>
                <w:rFonts w:hint="eastAsia" w:eastAsia="楷体_GB2312"/>
                <w:sz w:val="18"/>
                <w:szCs w:val="18"/>
              </w:rPr>
              <w:t>3</w:t>
            </w:r>
            <w:r>
              <w:rPr>
                <w:rFonts w:eastAsia="楷体_GB2312"/>
                <w:sz w:val="18"/>
                <w:szCs w:val="18"/>
              </w:rPr>
              <w:t>分；合规率每下降1%，扣0.5分，扣完为止。</w:t>
            </w:r>
          </w:p>
        </w:tc>
        <w:tc>
          <w:tcPr>
            <w:tcW w:w="1551" w:type="dxa"/>
            <w:noWrap w:val="0"/>
            <w:tcMar>
              <w:top w:w="0" w:type="dxa"/>
              <w:left w:w="105" w:type="dxa"/>
              <w:bottom w:w="0" w:type="dxa"/>
              <w:right w:w="105" w:type="dxa"/>
            </w:tcMar>
            <w:vAlign w:val="top"/>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lang w:val="en-US" w:eastAsia="zh-CN"/>
              </w:rPr>
            </w:pPr>
            <w:r>
              <w:rPr>
                <w:rFonts w:hint="eastAsia" w:eastAsia="楷体_GB2312"/>
                <w:sz w:val="18"/>
                <w:szCs w:val="18"/>
                <w:lang w:val="en-US" w:eastAsia="zh-CN"/>
              </w:rPr>
              <w:t>资金使用合规，</w:t>
            </w:r>
            <w:r>
              <w:rPr>
                <w:rFonts w:eastAsia="楷体_GB2312"/>
                <w:sz w:val="18"/>
                <w:szCs w:val="18"/>
              </w:rPr>
              <w:t>审批程序</w:t>
            </w:r>
            <w:r>
              <w:rPr>
                <w:rFonts w:hint="eastAsia" w:eastAsia="楷体_GB2312"/>
                <w:sz w:val="18"/>
                <w:szCs w:val="18"/>
                <w:lang w:val="en-US" w:eastAsia="zh-CN"/>
              </w:rPr>
              <w:t>合法，2万元以上支出班子集体讨论，不</w:t>
            </w:r>
            <w:r>
              <w:rPr>
                <w:rFonts w:eastAsia="楷体_GB2312"/>
                <w:sz w:val="18"/>
                <w:szCs w:val="18"/>
              </w:rPr>
              <w:t>截留、挤占、挪用、虚</w:t>
            </w:r>
            <w:r>
              <w:rPr>
                <w:rFonts w:hint="eastAsia" w:eastAsia="楷体_GB2312"/>
                <w:sz w:val="18"/>
                <w:szCs w:val="18"/>
                <w:lang w:val="en-US" w:eastAsia="zh-CN"/>
              </w:rPr>
              <w:t>假</w:t>
            </w:r>
            <w:r>
              <w:rPr>
                <w:rFonts w:eastAsia="楷体_GB2312"/>
                <w:sz w:val="18"/>
                <w:szCs w:val="18"/>
              </w:rPr>
              <w:t>列支</w:t>
            </w:r>
            <w:r>
              <w:rPr>
                <w:rFonts w:hint="eastAsia" w:eastAsia="楷体_GB2312"/>
                <w:sz w:val="18"/>
                <w:szCs w:val="18"/>
                <w:lang w:eastAsia="zh-CN"/>
              </w:rPr>
              <w:t>。</w:t>
            </w:r>
          </w:p>
        </w:tc>
        <w:tc>
          <w:tcPr>
            <w:tcW w:w="808" w:type="dxa"/>
            <w:vMerge w:val="continue"/>
            <w:noWrap w:val="0"/>
            <w:vAlign w:val="center"/>
          </w:tcPr>
          <w:p>
            <w:pPr>
              <w:jc w:val="center"/>
              <w:rPr>
                <w:rFonts w:eastAsia="楷体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55"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资金使用</w:t>
            </w:r>
          </w:p>
          <w:p>
            <w:pPr>
              <w:spacing w:line="300" w:lineRule="exact"/>
              <w:jc w:val="center"/>
              <w:rPr>
                <w:rFonts w:eastAsia="楷体_GB2312"/>
                <w:sz w:val="18"/>
                <w:szCs w:val="18"/>
              </w:rPr>
            </w:pPr>
            <w:r>
              <w:rPr>
                <w:rFonts w:eastAsia="楷体_GB2312"/>
                <w:sz w:val="18"/>
                <w:szCs w:val="18"/>
              </w:rPr>
              <w:t>合理性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相符率100%得2分；相符率每下降1%，扣0.5分，扣完为止。</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预算资金使用与预算项目内容相符。</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43"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整改</w:t>
            </w:r>
          </w:p>
          <w:p>
            <w:pPr>
              <w:spacing w:line="300" w:lineRule="exact"/>
              <w:jc w:val="center"/>
              <w:rPr>
                <w:rFonts w:eastAsia="楷体_GB2312"/>
                <w:sz w:val="18"/>
                <w:szCs w:val="18"/>
              </w:rPr>
            </w:pPr>
            <w:r>
              <w:rPr>
                <w:rFonts w:eastAsia="楷体_GB2312"/>
                <w:sz w:val="18"/>
                <w:szCs w:val="18"/>
              </w:rPr>
              <w:t>落实</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hint="eastAsia" w:eastAsia="楷体_GB2312"/>
                <w:sz w:val="18"/>
                <w:szCs w:val="18"/>
              </w:rPr>
            </w:pPr>
            <w:r>
              <w:rPr>
                <w:rFonts w:hint="eastAsia"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没发现违法违规问题或发现违法违纪行为并积极制定措施全部整改的，得</w:t>
            </w:r>
            <w:r>
              <w:rPr>
                <w:rFonts w:hint="eastAsia" w:eastAsia="楷体_GB2312"/>
                <w:sz w:val="18"/>
                <w:szCs w:val="18"/>
              </w:rPr>
              <w:t>2</w:t>
            </w:r>
            <w:r>
              <w:rPr>
                <w:rFonts w:eastAsia="楷体_GB2312"/>
                <w:sz w:val="18"/>
                <w:szCs w:val="18"/>
              </w:rPr>
              <w:t>分；部分整改的，视整改情况得</w:t>
            </w:r>
            <w:r>
              <w:rPr>
                <w:rFonts w:hint="eastAsia" w:eastAsia="楷体_GB2312"/>
                <w:sz w:val="18"/>
                <w:szCs w:val="18"/>
              </w:rPr>
              <w:t>0.5至1</w:t>
            </w:r>
            <w:r>
              <w:rPr>
                <w:rFonts w:eastAsia="楷体_GB2312"/>
                <w:sz w:val="18"/>
                <w:szCs w:val="18"/>
              </w:rPr>
              <w:t>分；未整改的，得0分。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预算管理中未存在违法违纪行为</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4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资产管理（5分）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资产管理制度健全性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1</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每发现一项问题，扣0.5分，扣完为止。</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建立完善的资产管理制度和台账</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22"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资产管理</w:t>
            </w:r>
          </w:p>
          <w:p>
            <w:pPr>
              <w:spacing w:line="300" w:lineRule="exact"/>
              <w:jc w:val="center"/>
              <w:rPr>
                <w:rFonts w:eastAsia="楷体_GB2312"/>
                <w:sz w:val="18"/>
                <w:szCs w:val="18"/>
              </w:rPr>
            </w:pPr>
            <w:r>
              <w:rPr>
                <w:rFonts w:eastAsia="楷体_GB2312"/>
                <w:sz w:val="18"/>
                <w:szCs w:val="18"/>
              </w:rPr>
              <w:t>安全性</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每发现一项问题，扣0.5分，扣完为止。</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资产配置和使用合理，处置收入足额入库。</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固定资产</w:t>
            </w:r>
          </w:p>
          <w:p>
            <w:pPr>
              <w:spacing w:line="300" w:lineRule="exact"/>
              <w:jc w:val="center"/>
              <w:rPr>
                <w:rFonts w:eastAsia="楷体_GB2312"/>
                <w:sz w:val="18"/>
                <w:szCs w:val="18"/>
              </w:rPr>
            </w:pPr>
            <w:r>
              <w:rPr>
                <w:rFonts w:eastAsia="楷体_GB2312"/>
                <w:sz w:val="18"/>
                <w:szCs w:val="18"/>
              </w:rPr>
              <w:t>利用率</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2</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99%≤结果≤100%，得2分；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90%≤结果＜99%，得1分；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结果＜90%，得0分。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无闲置固定资产，在用率100%</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34" w:hRule="atLeast"/>
          <w:tblCellSpacing w:w="0" w:type="dxa"/>
          <w:jc w:val="center"/>
        </w:trPr>
        <w:tc>
          <w:tcPr>
            <w:tcW w:w="10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产出与效果(共</w:t>
            </w:r>
            <w:r>
              <w:rPr>
                <w:rFonts w:hint="eastAsia" w:eastAsia="楷体_GB2312"/>
                <w:sz w:val="18"/>
                <w:szCs w:val="18"/>
              </w:rPr>
              <w:t>6</w:t>
            </w:r>
            <w:r>
              <w:rPr>
                <w:rFonts w:eastAsia="楷体_GB2312"/>
                <w:sz w:val="18"/>
                <w:szCs w:val="18"/>
              </w:rPr>
              <w:t>0分)</w:t>
            </w:r>
          </w:p>
        </w:tc>
        <w:tc>
          <w:tcPr>
            <w:tcW w:w="1179" w:type="dxa"/>
            <w:vMerge w:val="restart"/>
            <w:noWrap w:val="0"/>
            <w:tcMar>
              <w:top w:w="0" w:type="dxa"/>
              <w:left w:w="105" w:type="dxa"/>
              <w:bottom w:w="0" w:type="dxa"/>
              <w:right w:w="105" w:type="dxa"/>
            </w:tcMar>
            <w:vAlign w:val="top"/>
          </w:tcPr>
          <w:p>
            <w:pPr>
              <w:spacing w:before="100" w:beforeAutospacing="1" w:after="100" w:afterAutospacing="1"/>
              <w:jc w:val="center"/>
              <w:rPr>
                <w:rFonts w:eastAsia="楷体_GB2312"/>
                <w:sz w:val="18"/>
                <w:szCs w:val="18"/>
              </w:rPr>
            </w:pPr>
          </w:p>
          <w:p>
            <w:pPr>
              <w:spacing w:before="100" w:beforeAutospacing="1" w:after="100" w:afterAutospacing="1"/>
              <w:jc w:val="center"/>
              <w:rPr>
                <w:rFonts w:eastAsia="楷体_GB2312"/>
                <w:sz w:val="18"/>
                <w:szCs w:val="18"/>
              </w:rPr>
            </w:pPr>
            <w:r>
              <w:rPr>
                <w:rFonts w:eastAsia="楷体_GB2312"/>
                <w:sz w:val="18"/>
                <w:szCs w:val="18"/>
              </w:rPr>
              <w:t>产出指标（30分）</w:t>
            </w: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数量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对照绩效目标，按实际产出数量率计算得分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default" w:eastAsia="楷体_GB2312"/>
                <w:sz w:val="18"/>
                <w:szCs w:val="18"/>
                <w:lang w:val="en-US" w:eastAsia="zh-CN"/>
              </w:rPr>
            </w:pPr>
            <w:r>
              <w:rPr>
                <w:rFonts w:hint="eastAsia" w:eastAsia="楷体_GB2312"/>
                <w:sz w:val="18"/>
                <w:szCs w:val="18"/>
                <w:lang w:val="en-US" w:eastAsia="zh-CN"/>
              </w:rPr>
              <w:t>全面完成预算项目绩效目标</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9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质量</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对照绩效目标，按实际产出质量计算得分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both"/>
              <w:textAlignment w:val="bottom"/>
              <w:rPr>
                <w:rFonts w:hint="default" w:eastAsia="楷体_GB2312"/>
                <w:sz w:val="18"/>
                <w:szCs w:val="18"/>
                <w:lang w:val="en-US" w:eastAsia="zh-CN"/>
              </w:rPr>
            </w:pPr>
            <w:r>
              <w:rPr>
                <w:rFonts w:hint="eastAsia" w:eastAsia="楷体_GB2312"/>
                <w:sz w:val="18"/>
                <w:szCs w:val="18"/>
                <w:lang w:val="en-US" w:eastAsia="zh-CN"/>
              </w:rPr>
              <w:t>全部完成绩效项目指标</w:t>
            </w:r>
          </w:p>
        </w:tc>
        <w:tc>
          <w:tcPr>
            <w:tcW w:w="808" w:type="dxa"/>
            <w:noWrap w:val="0"/>
            <w:tcMar>
              <w:top w:w="0" w:type="dxa"/>
              <w:left w:w="105" w:type="dxa"/>
              <w:bottom w:w="0" w:type="dxa"/>
              <w:right w:w="105" w:type="dxa"/>
            </w:tcMar>
            <w:vAlign w:val="center"/>
          </w:tcPr>
          <w:p>
            <w:pPr>
              <w:jc w:val="center"/>
              <w:rPr>
                <w:rFonts w:hint="eastAsia" w:eastAsia="楷体_GB2312"/>
                <w:lang w:val="en-US" w:eastAsia="zh-CN"/>
              </w:rPr>
            </w:pPr>
            <w:r>
              <w:rPr>
                <w:rFonts w:hint="eastAsia" w:eastAsia="楷体_GB2312"/>
                <w:lang w:val="en-US" w:eastAsia="zh-CN"/>
              </w:rPr>
              <w:t>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spacing w:line="300" w:lineRule="exact"/>
              <w:jc w:val="center"/>
              <w:rPr>
                <w:rFonts w:eastAsia="楷体_GB2312"/>
                <w:sz w:val="18"/>
                <w:szCs w:val="18"/>
              </w:rPr>
            </w:pPr>
            <w:r>
              <w:rPr>
                <w:rFonts w:eastAsia="楷体_GB2312"/>
                <w:sz w:val="18"/>
                <w:szCs w:val="18"/>
              </w:rPr>
              <w:t>时效</w:t>
            </w:r>
          </w:p>
        </w:tc>
        <w:tc>
          <w:tcPr>
            <w:tcW w:w="701"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对照绩效目标，按实际产出时效计算得分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default" w:eastAsia="楷体_GB2312"/>
                <w:sz w:val="18"/>
                <w:szCs w:val="18"/>
                <w:lang w:val="en-US" w:eastAsia="zh-CN"/>
              </w:rPr>
            </w:pPr>
            <w:r>
              <w:rPr>
                <w:rFonts w:hint="eastAsia" w:eastAsia="楷体_GB2312"/>
                <w:sz w:val="18"/>
                <w:szCs w:val="18"/>
                <w:lang w:val="en-US" w:eastAsia="zh-CN"/>
              </w:rPr>
              <w:t>按时完成绩效目标绩效</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7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restart"/>
            <w:noWrap w:val="0"/>
            <w:tcMar>
              <w:top w:w="0" w:type="dxa"/>
              <w:left w:w="105" w:type="dxa"/>
              <w:bottom w:w="0" w:type="dxa"/>
              <w:right w:w="105" w:type="dxa"/>
            </w:tcMar>
            <w:vAlign w:val="center"/>
          </w:tcPr>
          <w:p>
            <w:pPr>
              <w:spacing w:before="100" w:beforeAutospacing="1" w:after="100" w:afterAutospacing="1"/>
              <w:jc w:val="center"/>
              <w:rPr>
                <w:rFonts w:eastAsia="楷体_GB2312"/>
                <w:sz w:val="18"/>
                <w:szCs w:val="18"/>
              </w:rPr>
            </w:pPr>
            <w:r>
              <w:rPr>
                <w:rFonts w:eastAsia="楷体_GB2312"/>
                <w:sz w:val="18"/>
                <w:szCs w:val="18"/>
              </w:rPr>
              <w:t>效益指标（</w:t>
            </w:r>
            <w:r>
              <w:rPr>
                <w:rFonts w:hint="eastAsia" w:eastAsia="楷体_GB2312"/>
                <w:sz w:val="18"/>
                <w:szCs w:val="18"/>
              </w:rPr>
              <w:t>3</w:t>
            </w:r>
            <w:r>
              <w:rPr>
                <w:rFonts w:eastAsia="楷体_GB2312"/>
                <w:sz w:val="18"/>
                <w:szCs w:val="18"/>
              </w:rPr>
              <w:t>0分）</w:t>
            </w: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经济</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sz w:val="18"/>
                <w:szCs w:val="18"/>
              </w:rPr>
            </w:pPr>
            <w:r>
              <w:rPr>
                <w:rFonts w:eastAsia="楷体_GB2312"/>
                <w:sz w:val="18"/>
                <w:szCs w:val="18"/>
              </w:rPr>
              <w:t>效益</w:t>
            </w:r>
          </w:p>
        </w:tc>
        <w:tc>
          <w:tcPr>
            <w:tcW w:w="701" w:type="dxa"/>
            <w:vMerge w:val="restart"/>
            <w:tcBorders>
              <w:top w:val="single" w:color="auto" w:sz="4" w:space="0"/>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hint="eastAsia" w:eastAsia="楷体_GB2312"/>
                <w:sz w:val="18"/>
                <w:szCs w:val="18"/>
              </w:rPr>
              <w:t>20</w:t>
            </w:r>
          </w:p>
        </w:tc>
        <w:tc>
          <w:tcPr>
            <w:tcW w:w="4750" w:type="dxa"/>
            <w:tcBorders>
              <w:top w:val="single" w:color="auto" w:sz="4" w:space="0"/>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对照绩效目标，按经济效益实现程度计算得分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default" w:eastAsia="楷体_GB2312"/>
                <w:sz w:val="18"/>
                <w:szCs w:val="18"/>
                <w:lang w:val="en-US" w:eastAsia="zh-CN"/>
              </w:rPr>
            </w:pPr>
            <w:r>
              <w:rPr>
                <w:rFonts w:hint="eastAsia" w:eastAsia="楷体_GB2312"/>
                <w:sz w:val="18"/>
                <w:szCs w:val="18"/>
                <w:lang w:val="en-US" w:eastAsia="zh-CN"/>
              </w:rPr>
              <w:t>顺利完成年初安全生产预防及应急、消防等预算绩效目标。</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default" w:eastAsia="楷体_GB2312"/>
                <w:lang w:val="en-US" w:eastAsia="zh-CN"/>
              </w:rPr>
            </w:pPr>
            <w:r>
              <w:rPr>
                <w:rFonts w:hint="eastAsia" w:eastAsia="楷体_GB2312"/>
                <w:lang w:val="en-US" w:eastAsia="zh-CN"/>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社会</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效益</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sz w:val="18"/>
                <w:szCs w:val="18"/>
              </w:rPr>
            </w:pPr>
          </w:p>
        </w:tc>
        <w:tc>
          <w:tcPr>
            <w:tcW w:w="4750" w:type="dxa"/>
            <w:tcBorders>
              <w:top w:val="single" w:color="auto" w:sz="4" w:space="0"/>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对照绩效目标，按社会效益实现程度计算得分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default" w:eastAsia="楷体_GB2312"/>
                <w:sz w:val="18"/>
                <w:szCs w:val="18"/>
                <w:lang w:val="en-US" w:eastAsia="zh-CN"/>
              </w:rPr>
            </w:pPr>
            <w:r>
              <w:rPr>
                <w:rFonts w:hint="eastAsia" w:eastAsia="楷体_GB2312"/>
                <w:sz w:val="18"/>
                <w:szCs w:val="18"/>
                <w:lang w:val="en-US" w:eastAsia="zh-CN"/>
              </w:rPr>
              <w:t>全面完成部门年度安全生产、应急及消防等主要工作任务</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lang w:val="en-US" w:eastAsia="zh-CN"/>
              </w:rPr>
            </w:pPr>
            <w:r>
              <w:rPr>
                <w:rFonts w:hint="eastAsia" w:eastAsia="楷体_GB2312"/>
                <w:lang w:val="en-US" w:eastAsia="zh-CN"/>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14"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环境</w:t>
            </w:r>
          </w:p>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效益</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sz w:val="18"/>
                <w:szCs w:val="18"/>
              </w:rPr>
            </w:pPr>
          </w:p>
        </w:tc>
        <w:tc>
          <w:tcPr>
            <w:tcW w:w="4750" w:type="dxa"/>
            <w:tcBorders>
              <w:right w:val="nil"/>
            </w:tcBorders>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对照绩效目标，按对环境所产生的实际影响程度计算得分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eastAsia="楷体_GB2312"/>
                <w:sz w:val="18"/>
                <w:szCs w:val="18"/>
              </w:rPr>
            </w:pPr>
            <w:r>
              <w:rPr>
                <w:rFonts w:hint="eastAsia" w:eastAsia="楷体_GB2312"/>
                <w:sz w:val="18"/>
                <w:szCs w:val="18"/>
                <w:lang w:val="en-US" w:eastAsia="zh-CN"/>
              </w:rPr>
              <w:t>圆满完成行业部门环境工作任务</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lang w:val="en-US" w:eastAsia="zh-CN"/>
              </w:rPr>
            </w:pPr>
            <w:r>
              <w:rPr>
                <w:rFonts w:hint="eastAsia" w:eastAsia="楷体_GB2312"/>
                <w:lang w:val="en-US" w:eastAsia="zh-CN"/>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59"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可持续性</w:t>
            </w:r>
          </w:p>
        </w:tc>
        <w:tc>
          <w:tcPr>
            <w:tcW w:w="70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sz w:val="18"/>
                <w:szCs w:val="18"/>
              </w:rPr>
            </w:pP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对照绩效目标，按实际情况计算得分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default" w:eastAsia="楷体_GB2312"/>
                <w:sz w:val="18"/>
                <w:szCs w:val="18"/>
                <w:lang w:val="en-US"/>
              </w:rPr>
            </w:pPr>
            <w:r>
              <w:rPr>
                <w:rFonts w:hint="eastAsia" w:eastAsia="楷体_GB2312"/>
                <w:sz w:val="18"/>
                <w:szCs w:val="18"/>
                <w:lang w:val="en-US" w:eastAsia="zh-CN"/>
              </w:rPr>
              <w:t>部门年度绩效指标全面完成，可持续性较好。</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eastAsia" w:eastAsia="楷体_GB2312"/>
                <w:lang w:val="en-US" w:eastAsia="zh-CN"/>
              </w:rPr>
            </w:pPr>
            <w:r>
              <w:rPr>
                <w:rFonts w:hint="eastAsia" w:eastAsia="楷体_GB2312"/>
                <w:lang w:val="en-US" w:eastAsia="zh-CN"/>
              </w:rPr>
              <w:t>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pPr>
              <w:jc w:val="center"/>
              <w:rPr>
                <w:rFonts w:eastAsia="楷体_GB2312"/>
                <w:sz w:val="18"/>
                <w:szCs w:val="18"/>
              </w:rPr>
            </w:pPr>
          </w:p>
        </w:tc>
        <w:tc>
          <w:tcPr>
            <w:tcW w:w="1179" w:type="dxa"/>
            <w:vMerge w:val="continue"/>
            <w:noWrap w:val="0"/>
            <w:vAlign w:val="center"/>
          </w:tcPr>
          <w:p>
            <w:pPr>
              <w:jc w:val="center"/>
              <w:rPr>
                <w:rFonts w:eastAsia="楷体_GB2312"/>
                <w:sz w:val="18"/>
                <w:szCs w:val="18"/>
              </w:rPr>
            </w:pP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sz w:val="18"/>
                <w:szCs w:val="18"/>
              </w:rPr>
            </w:pPr>
            <w:r>
              <w:rPr>
                <w:rFonts w:eastAsia="楷体_GB2312"/>
                <w:sz w:val="18"/>
                <w:szCs w:val="18"/>
              </w:rPr>
              <w:t>社会公众与服务对象满意度</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exact"/>
              <w:ind w:left="0"/>
              <w:jc w:val="center"/>
              <w:textAlignment w:val="bottom"/>
              <w:rPr>
                <w:rFonts w:hint="eastAsia" w:eastAsia="楷体_GB2312"/>
                <w:sz w:val="18"/>
                <w:szCs w:val="18"/>
              </w:rPr>
            </w:pPr>
            <w:r>
              <w:rPr>
                <w:rFonts w:hint="eastAsia" w:eastAsia="楷体_GB2312"/>
                <w:sz w:val="18"/>
                <w:szCs w:val="18"/>
              </w:rPr>
              <w:t>10</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eastAsia="楷体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rPr>
            </w:pPr>
            <w:r>
              <w:rPr>
                <w:rFonts w:hint="eastAsia" w:eastAsia="楷体_GB2312"/>
                <w:sz w:val="18"/>
                <w:szCs w:val="18"/>
              </w:rPr>
              <w:t>90%≤满意度≤100%记10分，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rPr>
            </w:pPr>
            <w:r>
              <w:rPr>
                <w:rFonts w:hint="eastAsia" w:eastAsia="楷体_GB2312"/>
                <w:sz w:val="18"/>
                <w:szCs w:val="18"/>
              </w:rPr>
              <w:t>80%≤满意度&lt;90%记8分，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rPr>
            </w:pPr>
            <w:r>
              <w:rPr>
                <w:rFonts w:hint="eastAsia" w:eastAsia="楷体_GB2312"/>
                <w:sz w:val="18"/>
                <w:szCs w:val="18"/>
              </w:rPr>
              <w:t>70%≤满意度&lt;80%  记6分，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hint="eastAsia" w:eastAsia="楷体_GB2312"/>
                <w:sz w:val="18"/>
                <w:szCs w:val="18"/>
              </w:rPr>
            </w:pPr>
            <w:r>
              <w:rPr>
                <w:rFonts w:hint="eastAsia" w:eastAsia="楷体_GB2312"/>
                <w:sz w:val="18"/>
                <w:szCs w:val="18"/>
              </w:rPr>
              <w:t>60%≤满意度&lt;70%记4分，</w:t>
            </w:r>
          </w:p>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bottom"/>
              <w:rPr>
                <w:rFonts w:eastAsia="楷体_GB2312"/>
                <w:sz w:val="18"/>
                <w:szCs w:val="18"/>
              </w:rPr>
            </w:pPr>
            <w:r>
              <w:rPr>
                <w:rFonts w:hint="eastAsia" w:eastAsia="楷体_GB2312"/>
                <w:sz w:val="18"/>
                <w:szCs w:val="18"/>
              </w:rPr>
              <w:t>满意度&lt;60%记0分。</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bottom"/>
              <w:rPr>
                <w:rFonts w:hint="default" w:eastAsia="楷体_GB2312"/>
                <w:sz w:val="18"/>
                <w:szCs w:val="18"/>
                <w:lang w:val="en-US" w:eastAsia="zh-CN"/>
              </w:rPr>
            </w:pPr>
            <w:r>
              <w:rPr>
                <w:rFonts w:eastAsia="楷体_GB2312"/>
                <w:sz w:val="18"/>
                <w:szCs w:val="18"/>
              </w:rPr>
              <w:t>社会公众、服务对象</w:t>
            </w:r>
            <w:r>
              <w:rPr>
                <w:rFonts w:hint="eastAsia" w:eastAsia="楷体_GB2312"/>
                <w:sz w:val="18"/>
                <w:szCs w:val="18"/>
                <w:lang w:val="en-US" w:eastAsia="zh-CN"/>
              </w:rPr>
              <w:t>满意度达95%以上</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default" w:eastAsia="楷体_GB2312"/>
                <w:lang w:val="en-US" w:eastAsia="zh-CN"/>
              </w:rPr>
            </w:pPr>
            <w:r>
              <w:rPr>
                <w:rFonts w:hint="eastAsia" w:eastAsia="楷体_GB2312"/>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66" w:hRule="atLeast"/>
          <w:tblCellSpacing w:w="0" w:type="dxa"/>
          <w:jc w:val="center"/>
        </w:trPr>
        <w:tc>
          <w:tcPr>
            <w:tcW w:w="1079" w:type="dxa"/>
            <w:noWrap w:val="0"/>
            <w:tcMar>
              <w:top w:w="0" w:type="dxa"/>
              <w:left w:w="105" w:type="dxa"/>
              <w:bottom w:w="0" w:type="dxa"/>
              <w:right w:w="105" w:type="dxa"/>
            </w:tcMar>
            <w:vAlign w:val="center"/>
          </w:tcPr>
          <w:p>
            <w:pPr>
              <w:spacing w:before="100" w:beforeAutospacing="1" w:after="100" w:afterAutospacing="1"/>
              <w:jc w:val="center"/>
              <w:rPr>
                <w:rFonts w:eastAsia="楷体_GB2312"/>
                <w:sz w:val="22"/>
                <w:szCs w:val="22"/>
              </w:rPr>
            </w:pPr>
            <w:r>
              <w:rPr>
                <w:rFonts w:eastAsia="楷体_GB2312"/>
                <w:sz w:val="22"/>
                <w:szCs w:val="22"/>
              </w:rPr>
              <w:t>合计</w:t>
            </w:r>
          </w:p>
        </w:tc>
        <w:tc>
          <w:tcPr>
            <w:tcW w:w="1179" w:type="dxa"/>
            <w:noWrap w:val="0"/>
            <w:tcMar>
              <w:top w:w="0" w:type="dxa"/>
              <w:left w:w="105" w:type="dxa"/>
              <w:bottom w:w="0" w:type="dxa"/>
              <w:right w:w="105" w:type="dxa"/>
            </w:tcMar>
            <w:vAlign w:val="center"/>
          </w:tcPr>
          <w:p>
            <w:pPr>
              <w:spacing w:before="100" w:beforeAutospacing="1" w:after="100" w:afterAutospacing="1"/>
              <w:rPr>
                <w:rFonts w:eastAsia="楷体_GB2312"/>
                <w:sz w:val="22"/>
                <w:szCs w:val="22"/>
              </w:rPr>
            </w:pPr>
            <w:r>
              <w:rPr>
                <w:rFonts w:eastAsia="楷体_GB2312"/>
                <w:sz w:val="22"/>
                <w:szCs w:val="22"/>
              </w:rPr>
              <w:t>—</w:t>
            </w:r>
          </w:p>
        </w:tc>
        <w:tc>
          <w:tcPr>
            <w:tcW w:w="1226"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exact"/>
              <w:ind w:left="0"/>
              <w:textAlignment w:val="bottom"/>
              <w:rPr>
                <w:rFonts w:eastAsia="楷体_GB2312"/>
                <w:sz w:val="22"/>
                <w:szCs w:val="22"/>
              </w:rPr>
            </w:pPr>
            <w:r>
              <w:rPr>
                <w:rFonts w:eastAsia="楷体_GB2312"/>
                <w:sz w:val="22"/>
                <w:szCs w:val="22"/>
              </w:rPr>
              <w:t>——</w:t>
            </w:r>
          </w:p>
        </w:tc>
        <w:tc>
          <w:tcPr>
            <w:tcW w:w="70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exact"/>
              <w:ind w:left="0"/>
              <w:jc w:val="center"/>
              <w:textAlignment w:val="bottom"/>
              <w:rPr>
                <w:rFonts w:eastAsia="楷体_GB2312"/>
                <w:spacing w:val="-20"/>
                <w:sz w:val="22"/>
                <w:szCs w:val="22"/>
              </w:rPr>
            </w:pPr>
            <w:r>
              <w:rPr>
                <w:rFonts w:eastAsia="楷体_GB2312"/>
                <w:spacing w:val="-20"/>
                <w:sz w:val="22"/>
                <w:szCs w:val="22"/>
              </w:rPr>
              <w:t>100</w:t>
            </w:r>
          </w:p>
        </w:tc>
        <w:tc>
          <w:tcPr>
            <w:tcW w:w="4750"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rPr>
            </w:pPr>
            <w:r>
              <w:rPr>
                <w:rFonts w:eastAsia="楷体_GB2312"/>
              </w:rPr>
              <w:t>——</w:t>
            </w:r>
          </w:p>
        </w:tc>
        <w:tc>
          <w:tcPr>
            <w:tcW w:w="3123"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eastAsia="楷体_GB2312"/>
              </w:rPr>
            </w:pPr>
            <w:r>
              <w:rPr>
                <w:rFonts w:eastAsia="楷体_GB2312"/>
              </w:rPr>
              <w:t>——</w:t>
            </w:r>
          </w:p>
        </w:tc>
        <w:tc>
          <w:tcPr>
            <w:tcW w:w="1551"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100" w:beforeAutospacing="1" w:after="100" w:afterAutospacing="1" w:line="240" w:lineRule="exact"/>
              <w:ind w:left="0"/>
              <w:jc w:val="center"/>
              <w:textAlignment w:val="bottom"/>
              <w:rPr>
                <w:rFonts w:eastAsia="楷体_GB2312"/>
              </w:rPr>
            </w:pPr>
            <w:r>
              <w:rPr>
                <w:rFonts w:eastAsia="楷体_GB2312"/>
              </w:rPr>
              <w:t>——</w:t>
            </w:r>
          </w:p>
        </w:tc>
        <w:tc>
          <w:tcPr>
            <w:tcW w:w="808"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bottom"/>
              <w:rPr>
                <w:rFonts w:hint="default" w:eastAsia="楷体_GB2312"/>
                <w:lang w:val="en-US" w:eastAsia="zh-CN"/>
              </w:rPr>
            </w:pPr>
            <w:r>
              <w:rPr>
                <w:rFonts w:hint="eastAsia" w:eastAsia="楷体_GB2312"/>
                <w:lang w:val="en-US" w:eastAsia="zh-CN"/>
              </w:rPr>
              <w:t>93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845" w:hRule="atLeast"/>
          <w:tblCellSpacing w:w="0" w:type="dxa"/>
          <w:jc w:val="center"/>
        </w:trPr>
        <w:tc>
          <w:tcPr>
            <w:tcW w:w="1079" w:type="dxa"/>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left="0"/>
              <w:jc w:val="center"/>
              <w:textAlignment w:val="bottom"/>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评价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exact"/>
              <w:ind w:left="0"/>
              <w:jc w:val="center"/>
              <w:textAlignment w:val="bottom"/>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等级</w:t>
            </w:r>
          </w:p>
        </w:tc>
        <w:tc>
          <w:tcPr>
            <w:tcW w:w="13338" w:type="dxa"/>
            <w:gridSpan w:val="7"/>
            <w:noWrap w:val="0"/>
            <w:tcMar>
              <w:top w:w="0" w:type="dxa"/>
              <w:left w:w="105" w:type="dxa"/>
              <w:bottom w:w="0" w:type="dxa"/>
              <w:right w:w="105"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ind w:left="0" w:firstLine="210" w:firstLineChars="100"/>
              <w:textAlignment w:val="bottom"/>
              <w:rPr>
                <w:rFonts w:hint="eastAsia" w:ascii="楷体_GB2312" w:hAnsi="楷体_GB2312" w:eastAsia="楷体_GB2312" w:cs="楷体_GB2312"/>
                <w:sz w:val="21"/>
                <w:szCs w:val="16"/>
              </w:rPr>
            </w:pPr>
            <w:r>
              <w:rPr>
                <w:rFonts w:hint="eastAsia" w:ascii="楷体_GB2312" w:hAnsi="楷体_GB2312" w:eastAsia="楷体_GB2312" w:cs="楷体_GB2312"/>
                <w:sz w:val="21"/>
                <w:szCs w:val="16"/>
              </w:rPr>
              <w:t xml:space="preserve">□优秀  90分≤得分≤100分；   □良好  </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分≤得分＜90分；   □较差  60分≤得分＜</w:t>
            </w:r>
            <w:r>
              <w:rPr>
                <w:rFonts w:ascii="楷体_GB2312" w:hAnsi="楷体_GB2312" w:eastAsia="楷体_GB2312" w:cs="楷体_GB2312"/>
                <w:sz w:val="21"/>
                <w:szCs w:val="16"/>
              </w:rPr>
              <w:t>80</w:t>
            </w:r>
            <w:r>
              <w:rPr>
                <w:rFonts w:hint="eastAsia" w:ascii="楷体_GB2312" w:hAnsi="楷体_GB2312" w:eastAsia="楷体_GB2312" w:cs="楷体_GB2312"/>
                <w:sz w:val="21"/>
                <w:szCs w:val="16"/>
              </w:rPr>
              <w:t>分；   □差  得分＜60分</w:t>
            </w:r>
          </w:p>
        </w:tc>
      </w:tr>
    </w:tbl>
    <w:p>
      <w:pPr>
        <w:spacing w:line="320" w:lineRule="exact"/>
        <w:ind w:firstLine="6490" w:firstLineChars="2950"/>
        <w:jc w:val="center"/>
        <w:rPr>
          <w:rFonts w:ascii="华文中宋" w:hAnsi="华文中宋" w:eastAsia="华文中宋"/>
          <w:sz w:val="22"/>
          <w:szCs w:val="24"/>
        </w:rPr>
      </w:pPr>
    </w:p>
    <w:p>
      <w:pPr>
        <w:spacing w:line="320" w:lineRule="exact"/>
        <w:ind w:firstLine="6490" w:firstLineChars="2950"/>
        <w:jc w:val="center"/>
        <w:rPr>
          <w:rFonts w:hint="eastAsia" w:ascii="楷体" w:hAnsi="楷体" w:eastAsia="楷体" w:cs="楷体"/>
          <w:sz w:val="22"/>
          <w:szCs w:val="24"/>
        </w:rPr>
      </w:pPr>
      <w:r>
        <w:rPr>
          <w:rFonts w:hint="eastAsia" w:ascii="楷体" w:hAnsi="楷体" w:eastAsia="楷体" w:cs="楷体"/>
          <w:sz w:val="22"/>
          <w:szCs w:val="24"/>
        </w:rPr>
        <w:t xml:space="preserve">    单位负责人（签字）：</w:t>
      </w:r>
    </w:p>
    <w:p>
      <w:pPr>
        <w:spacing w:line="320" w:lineRule="exact"/>
        <w:jc w:val="center"/>
        <w:rPr>
          <w:rFonts w:hint="eastAsia" w:ascii="方正大标宋_GBK" w:hAnsi="方正大标宋_GBK" w:eastAsia="方正大标宋_GBK" w:cs="方正大标宋_GBK"/>
          <w:sz w:val="18"/>
          <w:szCs w:val="18"/>
        </w:rPr>
      </w:pPr>
      <w:r>
        <w:rPr>
          <w:rFonts w:hint="eastAsia" w:ascii="楷体" w:hAnsi="楷体" w:eastAsia="楷体" w:cs="楷体"/>
          <w:sz w:val="22"/>
          <w:szCs w:val="24"/>
          <w:lang w:val="en-US" w:eastAsia="zh-CN"/>
        </w:rPr>
        <w:t xml:space="preserve">                                                                    </w:t>
      </w:r>
      <w:bookmarkStart w:id="0" w:name="_GoBack"/>
      <w:bookmarkEnd w:id="0"/>
      <w:r>
        <w:rPr>
          <w:rFonts w:hint="eastAsia" w:ascii="楷体" w:hAnsi="楷体" w:eastAsia="楷体" w:cs="楷体"/>
          <w:sz w:val="22"/>
          <w:szCs w:val="24"/>
        </w:rPr>
        <w:t>填表日期：</w:t>
      </w:r>
      <w:r>
        <w:rPr>
          <w:rFonts w:hint="eastAsia" w:ascii="楷体" w:hAnsi="楷体" w:eastAsia="楷体" w:cs="楷体"/>
          <w:sz w:val="22"/>
          <w:szCs w:val="24"/>
          <w:lang w:val="en-US" w:eastAsia="zh-CN"/>
        </w:rPr>
        <w:t>2024</w:t>
      </w:r>
      <w:r>
        <w:rPr>
          <w:rFonts w:hint="eastAsia" w:ascii="楷体" w:hAnsi="楷体" w:eastAsia="楷体" w:cs="楷体"/>
          <w:sz w:val="22"/>
          <w:szCs w:val="24"/>
        </w:rPr>
        <w:t>年</w:t>
      </w:r>
      <w:r>
        <w:rPr>
          <w:rFonts w:hint="eastAsia" w:ascii="楷体" w:hAnsi="楷体" w:eastAsia="楷体" w:cs="楷体"/>
          <w:sz w:val="22"/>
          <w:szCs w:val="24"/>
          <w:lang w:val="en-US" w:eastAsia="zh-CN"/>
        </w:rPr>
        <w:t>4</w:t>
      </w:r>
      <w:r>
        <w:rPr>
          <w:rFonts w:hint="eastAsia" w:ascii="楷体" w:hAnsi="楷体" w:eastAsia="楷体" w:cs="楷体"/>
          <w:sz w:val="22"/>
          <w:szCs w:val="24"/>
        </w:rPr>
        <w:t>月</w:t>
      </w:r>
      <w:r>
        <w:rPr>
          <w:rFonts w:hint="eastAsia" w:ascii="楷体" w:hAnsi="楷体" w:eastAsia="楷体" w:cs="楷体"/>
          <w:sz w:val="22"/>
          <w:szCs w:val="24"/>
          <w:lang w:val="en-US" w:eastAsia="zh-CN"/>
        </w:rPr>
        <w:t>10日</w:t>
      </w:r>
    </w:p>
    <w:sectPr>
      <w:pgSz w:w="16838" w:h="11906" w:orient="landscape"/>
      <w:pgMar w:top="1009" w:right="1270" w:bottom="669" w:left="1383"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62B46A8F"/>
    <w:rsid w:val="000B7698"/>
    <w:rsid w:val="023048CF"/>
    <w:rsid w:val="0571302A"/>
    <w:rsid w:val="05E321D4"/>
    <w:rsid w:val="079A5410"/>
    <w:rsid w:val="08096863"/>
    <w:rsid w:val="084F5179"/>
    <w:rsid w:val="0AD5676B"/>
    <w:rsid w:val="0B981976"/>
    <w:rsid w:val="0BF41E93"/>
    <w:rsid w:val="0CDC73E0"/>
    <w:rsid w:val="0E7F7850"/>
    <w:rsid w:val="10606175"/>
    <w:rsid w:val="10B934B4"/>
    <w:rsid w:val="1164141F"/>
    <w:rsid w:val="11DC5CCF"/>
    <w:rsid w:val="12F84AB4"/>
    <w:rsid w:val="1684182B"/>
    <w:rsid w:val="16EC3324"/>
    <w:rsid w:val="172923DC"/>
    <w:rsid w:val="176E5003"/>
    <w:rsid w:val="18371EB1"/>
    <w:rsid w:val="18426B32"/>
    <w:rsid w:val="18CE65B0"/>
    <w:rsid w:val="18DB1C20"/>
    <w:rsid w:val="1C1E65B9"/>
    <w:rsid w:val="1EA42B93"/>
    <w:rsid w:val="212B146E"/>
    <w:rsid w:val="21D30922"/>
    <w:rsid w:val="24715D06"/>
    <w:rsid w:val="25D02FFD"/>
    <w:rsid w:val="26581B62"/>
    <w:rsid w:val="26B1472D"/>
    <w:rsid w:val="27135897"/>
    <w:rsid w:val="27F616E4"/>
    <w:rsid w:val="29963BF5"/>
    <w:rsid w:val="2D8F7367"/>
    <w:rsid w:val="31EE0600"/>
    <w:rsid w:val="33F20F2A"/>
    <w:rsid w:val="34827AC6"/>
    <w:rsid w:val="349350D9"/>
    <w:rsid w:val="34DA661B"/>
    <w:rsid w:val="38B129BB"/>
    <w:rsid w:val="39D30EB6"/>
    <w:rsid w:val="3AD244C6"/>
    <w:rsid w:val="3B477943"/>
    <w:rsid w:val="3BC82C4E"/>
    <w:rsid w:val="3C074E47"/>
    <w:rsid w:val="3F5900B0"/>
    <w:rsid w:val="3FDD13E1"/>
    <w:rsid w:val="40B332DE"/>
    <w:rsid w:val="423953B0"/>
    <w:rsid w:val="425A3F23"/>
    <w:rsid w:val="42EA49A7"/>
    <w:rsid w:val="43CD4BC8"/>
    <w:rsid w:val="4594599D"/>
    <w:rsid w:val="47150D60"/>
    <w:rsid w:val="471C057B"/>
    <w:rsid w:val="4B115B10"/>
    <w:rsid w:val="4C6205A3"/>
    <w:rsid w:val="4D517634"/>
    <w:rsid w:val="50760AC1"/>
    <w:rsid w:val="51595CED"/>
    <w:rsid w:val="51A019B3"/>
    <w:rsid w:val="520D5BAA"/>
    <w:rsid w:val="545339F1"/>
    <w:rsid w:val="54CD67D6"/>
    <w:rsid w:val="55F20ED7"/>
    <w:rsid w:val="56E544D7"/>
    <w:rsid w:val="57627F66"/>
    <w:rsid w:val="57B8376D"/>
    <w:rsid w:val="58D2085F"/>
    <w:rsid w:val="5C125CFB"/>
    <w:rsid w:val="5CC44887"/>
    <w:rsid w:val="5D530F0E"/>
    <w:rsid w:val="5FFA0AD6"/>
    <w:rsid w:val="60F13E97"/>
    <w:rsid w:val="616E4B25"/>
    <w:rsid w:val="62B46A8F"/>
    <w:rsid w:val="62FB098F"/>
    <w:rsid w:val="6381535B"/>
    <w:rsid w:val="63AD372C"/>
    <w:rsid w:val="646257E6"/>
    <w:rsid w:val="64813139"/>
    <w:rsid w:val="66A26340"/>
    <w:rsid w:val="67A70AB4"/>
    <w:rsid w:val="697E5441"/>
    <w:rsid w:val="6A39640E"/>
    <w:rsid w:val="6C021361"/>
    <w:rsid w:val="6E361438"/>
    <w:rsid w:val="700346D4"/>
    <w:rsid w:val="70761E89"/>
    <w:rsid w:val="71AD1A11"/>
    <w:rsid w:val="73CB11C9"/>
    <w:rsid w:val="76C515AB"/>
    <w:rsid w:val="76FF4ABD"/>
    <w:rsid w:val="78A31478"/>
    <w:rsid w:val="78B03A85"/>
    <w:rsid w:val="79837AAE"/>
    <w:rsid w:val="7DF44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2024-03-26T02:01:00Z</dcterms:created>
  <dc:creator>6105</dc:creator>
  <cp:lastModifiedBy>6105</cp:lastModifiedBy>
  <cp:lastPrinted>2024-04-10T00:05:47Z</cp:lastPrinted>
  <dcterms:modified xsi:type="dcterms:W3CDTF">2024-04-10T00:06:31Z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DEC2B6F743824269A14C35E374C3FC04_13</vt:lpwstr>
  </property>
</Properties>
</file>