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57" w:afterLines="50" w:afterAutospacing="0" w:line="560" w:lineRule="exact"/>
        <w:ind w:left="0"/>
        <w:jc w:val="left"/>
        <w:textAlignment w:val="bottom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附件2-1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/>
        <w:jc w:val="center"/>
        <w:textAlignment w:val="bottom"/>
        <w:rPr>
          <w:rFonts w:ascii="黑体" w:hAnsi="黑体" w:eastAsia="黑体"/>
          <w:bCs/>
          <w:w w:val="85"/>
          <w:sz w:val="36"/>
          <w:szCs w:val="36"/>
        </w:rPr>
      </w:pPr>
      <w:r>
        <w:rPr>
          <w:rFonts w:ascii="黑体" w:hAnsi="黑体" w:eastAsia="黑体"/>
          <w:bCs/>
          <w:w w:val="85"/>
          <w:sz w:val="36"/>
          <w:szCs w:val="36"/>
        </w:rPr>
        <w:t>2022年度新晃县项目</w:t>
      </w:r>
      <w:r>
        <w:rPr>
          <w:rFonts w:hint="eastAsia" w:ascii="黑体" w:hAnsi="黑体" w:eastAsia="黑体"/>
          <w:bCs/>
          <w:w w:val="85"/>
          <w:sz w:val="36"/>
          <w:szCs w:val="36"/>
        </w:rPr>
        <w:t>支出</w:t>
      </w:r>
      <w:r>
        <w:rPr>
          <w:rFonts w:ascii="黑体" w:hAnsi="黑体" w:eastAsia="黑体"/>
          <w:bCs/>
          <w:w w:val="85"/>
          <w:sz w:val="36"/>
          <w:szCs w:val="36"/>
        </w:rPr>
        <w:t>绩效</w:t>
      </w:r>
      <w:r>
        <w:rPr>
          <w:rFonts w:hint="eastAsia" w:ascii="黑体" w:hAnsi="黑体" w:eastAsia="黑体"/>
          <w:bCs/>
          <w:w w:val="85"/>
          <w:sz w:val="36"/>
          <w:szCs w:val="36"/>
        </w:rPr>
        <w:t>自评</w:t>
      </w:r>
      <w:r>
        <w:rPr>
          <w:rFonts w:ascii="黑体" w:hAnsi="黑体" w:eastAsia="黑体"/>
          <w:bCs/>
          <w:w w:val="85"/>
          <w:sz w:val="36"/>
          <w:szCs w:val="36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</w:t>
      </w:r>
      <w:r>
        <w:rPr>
          <w:rFonts w:hint="eastAsia"/>
          <w:sz w:val="24"/>
        </w:rPr>
        <w:t xml:space="preserve">    </w:t>
      </w:r>
      <w:r>
        <w:rPr>
          <w:sz w:val="24"/>
        </w:rPr>
        <w:t xml:space="preserve"> </w:t>
      </w:r>
      <w:r>
        <w:rPr>
          <w:rFonts w:eastAsia="仿宋_GB2312"/>
          <w:szCs w:val="21"/>
        </w:rPr>
        <w:t>金额单位：万元</w:t>
      </w:r>
    </w:p>
    <w:tbl>
      <w:tblPr>
        <w:tblStyle w:val="2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413"/>
        <w:gridCol w:w="1312"/>
        <w:gridCol w:w="1206"/>
        <w:gridCol w:w="832"/>
        <w:gridCol w:w="870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新晃县应急管理局   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220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2022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年第一期洪涝灾害救助资金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新晃县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应急管理局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杨建华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13874538520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518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2518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严格按照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《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中央自然灾害救灾资金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》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等法律法规相关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产出数量、产出质量、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成本控制等完成程度均为完成，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产出时效方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因拨付有跨月情况自评为基本完成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经济效益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不适用，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社会效益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有限改善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、环境效益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不适用，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可持续影响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不适用，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92%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等5个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目标达到程度均为达到。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根据抽样及询问服务对象，满意度为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92%。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  90分≤得分≤100分；  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 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分； 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□ 差 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华文中宋" w:hAnsi="华文中宋" w:eastAsia="华文中宋"/>
          <w:sz w:val="8"/>
          <w:szCs w:val="1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Cs w:val="21"/>
        </w:rPr>
        <w:t>单位负责人（签字）：       项目负责人（签字）：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杨建华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Cs w:val="21"/>
        </w:rPr>
        <w:t xml:space="preserve"> 填表日期：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21"/>
        </w:rPr>
        <w:t>年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21"/>
        </w:rPr>
        <w:t>月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Cs w:val="21"/>
        </w:rPr>
        <w:t>日</w:t>
      </w:r>
      <w:r>
        <w:rPr>
          <w:rFonts w:hint="eastAsia" w:ascii="方正大标宋_GBK" w:hAnsi="方正大标宋_GBK" w:eastAsia="方正大标宋_GBK" w:cs="方正大标宋_GBK"/>
          <w:b w:val="0"/>
          <w:bCs w:val="0"/>
          <w:sz w:val="44"/>
          <w:szCs w:val="44"/>
          <w:lang w:val="en-US" w:eastAsia="zh-CN"/>
        </w:rPr>
        <w:t>2022年应急管理局第一期洪涝灾害      救助资金绩效评价报告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一、基本情况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2022年5月，我县遭受多轮强降雨影响，部分行政村及社区受到了严重洪涝灾害，农作物、农田、道路、水利设施、农房、学校、卫生室等遭受不同程度的损失，为有序恢复工农业生产、水利基础设施重建修复，前面做好受灾群众生活救助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（二）项目绩效目标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修复因灾受损道路、清理塌方路段，妥善安置受灾群众，提高地方应对自然灾害的能力，加强自然灾害防御，确保地区社会安定，保护人民群众生命财产安全。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二、绩效评价工作开展情况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（一）绩效评价的目的、对象和范围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严格执行《预算法》，强化支出责任，提高项目资金使用效益，对项目支出情况开展绩效评价，践行“花钱必问效、无效必问责”。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通过项目资金的绩效评价，进一步了解和掌握项目实施的具体情况，评价其项目资金安排的科学性、合理性、规范性和资金使用成效，及时总结项目管理经验，完善项目管理办法，提高项目管理水平和资金额使用效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促使项目承担科室及项目分管领导，对绩效评价中发现的问题，认真整改，及时调整和完善单位的工作计划和绩效目标，提高管理水平，同时为项目后续资金投入、分配和管理提供决策依据。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4、第一期洪涝灾害救助资金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，202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年涉及资金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万元，全部用于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受灾道路清理塌方及受灾群众安置的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开支。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（二）绩效评价原则、评价指标体系（付表说明）、评价方法、评价标准等。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科学公正。绩效评价应当运用科学合理的方法，按照规范的程序，对项目绩效进行客观、公正的反映。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统筹兼顾。单位自评、部门评价和财政评价应职责明确，各有侧重，相互衔接。单位自评应由项目单位自助实施，即“谁支出、谁自评”。部门评价和财政评价应在单位自评的基础上开展。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激励约束。绩效评价结果应与预算安排、政策调整、改进管理实质性挂钩，体现奖优罚劣和激励相容导向，有效要安排，低效要压减、无效要问责。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公开透明。绩效评价结果应依法依归公开，并自觉接受社会监督。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（三）绩效评价过程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成立绩效评价小组；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组织相关人员进行培训；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收集相关资料；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分析资料、汇总评价数据；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填写项目支出绩效单位自评表，撰写绩效自评报告。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三、综合评价及评价结论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项目总投资预算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万元。其中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清理道路塌方20万元，占总预算的100%。2022年12月31日，该项目预算20万元资金，已拨付到位，决算支出20万元，预算执行率100%。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该项目目前已完成总体进度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%，其中，完成了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全县受灾道路塌方的清理、重建的建设。项目支出绩效目基本完成。完成率100%，项目验收合格率100%，修复道路合格率99%。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（一）项目决策情况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项目立项，根据《自然灾害救助条例》（国务院令第577号）的规定，通过实地走访的形式，统计本县境内受灾情况，上报上级单位备案，申报补助资金。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（二）项目过程情况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因灾害救助的特殊性，各受灾乡镇先行垫资救灾，清理因灾塌方道路，后续资金拨付到位，根据受灾情况的严重程度分配救灾资金。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（三）项目产出情况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洪涝灾害救助资金项目，主要用于因洪涝灾害塌方的道路清理，共覆盖全县11个乡镇，清理塌方路段13处，修复受损道路2条，保障了受灾群众的正常生活出行需求。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（四）项目效益情况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洪涝灾害救助资金，帮助受灾群众重建家园，提高了地方应对自然灾害的能力，加强自然灾害防御，确保了地区社会安定，保护人民群众生命财产安全。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五、主要的经验及做法、存在的问题及原因分析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因自然灾害具有突发性的特点，无法准确预估受灾情况，应在平时加强自然灾害的预防能力，提高应对自然灾害的应对能力，加快救灾安置点的建设，合理利用地方应急救援力量，提升灾害救援的专业力量。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六、有关建议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建议对受灾群众进行心理安抚，通过补助的形式，帮助受灾群众顺利度过困难时期，使我县灾后重建工作能事半功倍。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七、其他需要说明的问题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因自然灾害的突发性、不可遇见性，无法准确将受灾补助纳入预算内执行，故预算执行率上下浮动较大。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center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新晃侗族自治县应急管理局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2023年5月15日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交通标志专用字体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lNmI3YjcxYTM4YTVhYzE4YTIzM2VmZWFkYTIwZTYifQ=="/>
  </w:docVars>
  <w:rsids>
    <w:rsidRoot w:val="00000000"/>
    <w:rsid w:val="1A820C5C"/>
    <w:rsid w:val="5C417F65"/>
    <w:rsid w:val="5CC73DB2"/>
    <w:rsid w:val="B83FD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2232</Words>
  <Characters>2353</Characters>
  <Lines>0</Lines>
  <Paragraphs>0</Paragraphs>
  <TotalTime>10</TotalTime>
  <ScaleCrop>false</ScaleCrop>
  <LinksUpToDate>false</LinksUpToDate>
  <CharactersWithSpaces>2532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6105</cp:lastModifiedBy>
  <dcterms:modified xsi:type="dcterms:W3CDTF">2023-06-02T03:16:36Z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8384851FD5DB4980B683C19FE93F30AE_13</vt:lpwstr>
  </property>
</Properties>
</file>