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ind w:firstLine="643" w:firstLineChars="200"/>
        <w:jc w:val="left"/>
        <w:rPr>
          <w:rFonts w:cs="黑体" w:asciiTheme="minorEastAsia" w:hAnsiTheme="minorEastAsia"/>
          <w:color w:val="000000"/>
          <w:kern w:val="0"/>
          <w:sz w:val="32"/>
          <w:szCs w:val="32"/>
        </w:rPr>
      </w:pPr>
      <w:r>
        <w:rPr>
          <w:rFonts w:hint="eastAsia" w:cs="黑体" w:asciiTheme="minorEastAsia" w:hAnsiTheme="minorEastAsia"/>
          <w:b/>
          <w:color w:val="000000"/>
          <w:kern w:val="0"/>
          <w:sz w:val="32"/>
          <w:szCs w:val="32"/>
        </w:rPr>
        <w:t>（1）绩效管理评价工作开展情况</w:t>
      </w:r>
      <w:r>
        <w:rPr>
          <w:rFonts w:hint="eastAsia" w:cs="黑体" w:asciiTheme="minorEastAsia" w:hAnsiTheme="minorEastAsia"/>
          <w:color w:val="000000"/>
          <w:kern w:val="0"/>
          <w:sz w:val="32"/>
          <w:szCs w:val="32"/>
        </w:rPr>
        <w:t>。</w:t>
      </w:r>
    </w:p>
    <w:p>
      <w:pPr>
        <w:autoSpaceDE w:val="0"/>
        <w:autoSpaceDN w:val="0"/>
        <w:adjustRightInd w:val="0"/>
        <w:ind w:firstLine="640" w:firstLineChars="200"/>
        <w:jc w:val="left"/>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根据预算绩效管理要求，我部门组织对202</w:t>
      </w:r>
      <w:r>
        <w:rPr>
          <w:rFonts w:hint="eastAsia" w:ascii="仿宋" w:hAnsi="仿宋" w:eastAsia="仿宋" w:cs="仿宋"/>
          <w:color w:val="auto"/>
          <w:kern w:val="0"/>
          <w:sz w:val="32"/>
          <w:szCs w:val="32"/>
          <w:lang w:val="en-US" w:eastAsia="zh-CN"/>
        </w:rPr>
        <w:t>2</w:t>
      </w:r>
      <w:r>
        <w:rPr>
          <w:rFonts w:hint="eastAsia" w:ascii="仿宋" w:hAnsi="仿宋" w:eastAsia="仿宋" w:cs="仿宋"/>
          <w:color w:val="auto"/>
          <w:kern w:val="0"/>
          <w:sz w:val="32"/>
          <w:szCs w:val="32"/>
        </w:rPr>
        <w:t xml:space="preserve"> 年度一般公共预算项目支出全面开展绩效自评，其中，一级项目</w:t>
      </w:r>
      <w:r>
        <w:rPr>
          <w:rFonts w:hint="eastAsia" w:ascii="仿宋" w:hAnsi="仿宋" w:eastAsia="仿宋" w:cs="仿宋"/>
          <w:color w:val="auto"/>
          <w:kern w:val="0"/>
          <w:sz w:val="32"/>
          <w:szCs w:val="32"/>
          <w:lang w:val="en-US" w:eastAsia="zh-CN"/>
        </w:rPr>
        <w:t>1</w:t>
      </w:r>
      <w:r>
        <w:rPr>
          <w:rFonts w:hint="eastAsia" w:ascii="仿宋" w:hAnsi="仿宋" w:eastAsia="仿宋" w:cs="仿宋"/>
          <w:color w:val="auto"/>
          <w:kern w:val="0"/>
          <w:sz w:val="32"/>
          <w:szCs w:val="32"/>
        </w:rPr>
        <w:t>个，二级项目</w:t>
      </w:r>
      <w:r>
        <w:rPr>
          <w:rFonts w:hint="eastAsia" w:ascii="仿宋" w:hAnsi="仿宋" w:eastAsia="仿宋" w:cs="仿宋"/>
          <w:color w:val="auto"/>
          <w:kern w:val="0"/>
          <w:sz w:val="32"/>
          <w:szCs w:val="32"/>
          <w:lang w:val="en-US" w:eastAsia="zh-CN"/>
        </w:rPr>
        <w:t>4</w:t>
      </w:r>
      <w:r>
        <w:rPr>
          <w:rFonts w:hint="eastAsia" w:ascii="仿宋" w:hAnsi="仿宋" w:eastAsia="仿宋" w:cs="仿宋"/>
          <w:color w:val="auto"/>
          <w:kern w:val="0"/>
          <w:sz w:val="32"/>
          <w:szCs w:val="32"/>
        </w:rPr>
        <w:t xml:space="preserve"> 个，共涉及资金</w:t>
      </w:r>
      <w:r>
        <w:rPr>
          <w:rFonts w:hint="eastAsia" w:ascii="仿宋" w:hAnsi="仿宋" w:eastAsia="仿宋" w:cs="仿宋"/>
          <w:color w:val="auto"/>
          <w:kern w:val="0"/>
          <w:sz w:val="32"/>
          <w:szCs w:val="32"/>
          <w:lang w:val="en-US" w:eastAsia="zh-CN"/>
        </w:rPr>
        <w:t>1061.98</w:t>
      </w:r>
      <w:r>
        <w:rPr>
          <w:rFonts w:hint="eastAsia" w:ascii="仿宋" w:hAnsi="仿宋" w:eastAsia="仿宋" w:cs="仿宋"/>
          <w:color w:val="auto"/>
          <w:kern w:val="0"/>
          <w:sz w:val="32"/>
          <w:szCs w:val="32"/>
        </w:rPr>
        <w:t>万元，占一般公共预算项目支出总额的</w:t>
      </w:r>
      <w:r>
        <w:rPr>
          <w:rFonts w:hint="eastAsia" w:ascii="仿宋" w:hAnsi="仿宋" w:eastAsia="仿宋" w:cs="仿宋"/>
          <w:color w:val="auto"/>
          <w:kern w:val="0"/>
          <w:sz w:val="32"/>
          <w:szCs w:val="32"/>
          <w:lang w:val="en-US" w:eastAsia="zh-CN"/>
        </w:rPr>
        <w:t>100</w:t>
      </w:r>
      <w:r>
        <w:rPr>
          <w:rFonts w:hint="eastAsia" w:ascii="仿宋" w:hAnsi="仿宋" w:eastAsia="仿宋" w:cs="仿宋"/>
          <w:color w:val="auto"/>
          <w:kern w:val="0"/>
          <w:sz w:val="32"/>
          <w:szCs w:val="32"/>
        </w:rPr>
        <w:t>%。组织对202</w:t>
      </w:r>
      <w:r>
        <w:rPr>
          <w:rFonts w:hint="eastAsia" w:ascii="仿宋" w:hAnsi="仿宋" w:eastAsia="仿宋" w:cs="仿宋"/>
          <w:color w:val="auto"/>
          <w:kern w:val="0"/>
          <w:sz w:val="32"/>
          <w:szCs w:val="32"/>
          <w:lang w:val="en-US" w:eastAsia="zh-CN"/>
        </w:rPr>
        <w:t>2</w:t>
      </w:r>
      <w:r>
        <w:rPr>
          <w:rFonts w:hint="eastAsia" w:ascii="仿宋" w:hAnsi="仿宋" w:eastAsia="仿宋" w:cs="仿宋"/>
          <w:color w:val="auto"/>
          <w:kern w:val="0"/>
          <w:sz w:val="32"/>
          <w:szCs w:val="32"/>
        </w:rPr>
        <w:t>年度</w:t>
      </w:r>
      <w:r>
        <w:rPr>
          <w:rFonts w:hint="eastAsia" w:ascii="仿宋" w:hAnsi="仿宋" w:eastAsia="仿宋" w:cs="仿宋"/>
          <w:color w:val="auto"/>
          <w:kern w:val="0"/>
          <w:sz w:val="32"/>
          <w:szCs w:val="32"/>
          <w:lang w:eastAsia="zh-CN"/>
        </w:rPr>
        <w:t>整体支出</w:t>
      </w:r>
      <w:r>
        <w:rPr>
          <w:rFonts w:hint="eastAsia" w:ascii="仿宋" w:hAnsi="仿宋" w:eastAsia="仿宋" w:cs="仿宋"/>
          <w:color w:val="auto"/>
          <w:kern w:val="0"/>
          <w:sz w:val="32"/>
          <w:szCs w:val="32"/>
        </w:rPr>
        <w:t>、</w:t>
      </w:r>
      <w:r>
        <w:rPr>
          <w:rFonts w:hint="eastAsia" w:ascii="仿宋" w:hAnsi="仿宋" w:eastAsia="仿宋" w:cs="仿宋"/>
          <w:color w:val="auto"/>
          <w:kern w:val="0"/>
          <w:sz w:val="32"/>
          <w:szCs w:val="32"/>
          <w:lang w:eastAsia="zh-CN"/>
        </w:rPr>
        <w:t>项目支出</w:t>
      </w:r>
      <w:r>
        <w:rPr>
          <w:rFonts w:hint="eastAsia" w:ascii="仿宋" w:hAnsi="仿宋" w:eastAsia="仿宋" w:cs="仿宋"/>
          <w:color w:val="auto"/>
          <w:kern w:val="0"/>
          <w:sz w:val="32"/>
          <w:szCs w:val="32"/>
        </w:rPr>
        <w:t xml:space="preserve"> 等</w:t>
      </w:r>
      <w:r>
        <w:rPr>
          <w:rFonts w:hint="eastAsia" w:ascii="仿宋" w:hAnsi="仿宋" w:eastAsia="仿宋" w:cs="仿宋"/>
          <w:color w:val="auto"/>
          <w:kern w:val="0"/>
          <w:sz w:val="32"/>
          <w:szCs w:val="32"/>
          <w:lang w:val="en-US" w:eastAsia="zh-CN"/>
        </w:rPr>
        <w:t>4</w:t>
      </w:r>
      <w:r>
        <w:rPr>
          <w:rFonts w:hint="eastAsia" w:ascii="仿宋" w:hAnsi="仿宋" w:eastAsia="仿宋" w:cs="仿宋"/>
          <w:color w:val="auto"/>
          <w:kern w:val="0"/>
          <w:sz w:val="32"/>
          <w:szCs w:val="32"/>
        </w:rPr>
        <w:t>个政府性基金预算项目支出开展绩效自评，共涉及资金</w:t>
      </w:r>
      <w:r>
        <w:rPr>
          <w:rFonts w:hint="eastAsia" w:ascii="仿宋" w:hAnsi="仿宋" w:eastAsia="仿宋" w:cs="仿宋"/>
          <w:color w:val="auto"/>
          <w:kern w:val="0"/>
          <w:sz w:val="32"/>
          <w:szCs w:val="32"/>
          <w:lang w:val="en-US" w:eastAsia="zh-CN"/>
        </w:rPr>
        <w:t>390</w:t>
      </w:r>
      <w:r>
        <w:rPr>
          <w:rFonts w:hint="eastAsia" w:ascii="仿宋" w:hAnsi="仿宋" w:eastAsia="仿宋" w:cs="仿宋"/>
          <w:color w:val="auto"/>
          <w:kern w:val="0"/>
          <w:sz w:val="32"/>
          <w:szCs w:val="32"/>
        </w:rPr>
        <w:t xml:space="preserve"> 万元，占政府性基金预算项目支出总额的</w:t>
      </w:r>
      <w:r>
        <w:rPr>
          <w:rFonts w:hint="eastAsia" w:ascii="仿宋" w:hAnsi="仿宋" w:eastAsia="仿宋" w:cs="仿宋"/>
          <w:color w:val="auto"/>
          <w:kern w:val="0"/>
          <w:sz w:val="32"/>
          <w:szCs w:val="32"/>
          <w:lang w:val="en-US" w:eastAsia="zh-CN"/>
        </w:rPr>
        <w:t>0</w:t>
      </w:r>
      <w:r>
        <w:rPr>
          <w:rFonts w:hint="eastAsia" w:ascii="仿宋" w:hAnsi="仿宋" w:eastAsia="仿宋" w:cs="仿宋"/>
          <w:color w:val="auto"/>
          <w:kern w:val="0"/>
          <w:sz w:val="32"/>
          <w:szCs w:val="32"/>
        </w:rPr>
        <w:t>%。组织对202</w:t>
      </w:r>
      <w:r>
        <w:rPr>
          <w:rFonts w:hint="eastAsia" w:ascii="仿宋" w:hAnsi="仿宋" w:eastAsia="仿宋" w:cs="仿宋"/>
          <w:color w:val="auto"/>
          <w:kern w:val="0"/>
          <w:sz w:val="32"/>
          <w:szCs w:val="32"/>
          <w:lang w:val="en-US" w:eastAsia="zh-CN"/>
        </w:rPr>
        <w:t>2</w:t>
      </w:r>
      <w:r>
        <w:rPr>
          <w:rFonts w:hint="eastAsia" w:ascii="仿宋" w:hAnsi="仿宋" w:eastAsia="仿宋" w:cs="仿宋"/>
          <w:color w:val="auto"/>
          <w:kern w:val="0"/>
          <w:sz w:val="32"/>
          <w:szCs w:val="32"/>
        </w:rPr>
        <w:t>年度</w:t>
      </w:r>
      <w:r>
        <w:rPr>
          <w:rFonts w:hint="eastAsia" w:ascii="仿宋" w:hAnsi="仿宋" w:eastAsia="仿宋" w:cs="仿宋"/>
          <w:color w:val="auto"/>
          <w:kern w:val="0"/>
          <w:sz w:val="32"/>
          <w:szCs w:val="32"/>
          <w:lang w:val="en-US" w:eastAsia="zh-CN"/>
        </w:rPr>
        <w:t xml:space="preserve"> </w:t>
      </w:r>
      <w:r>
        <w:rPr>
          <w:rFonts w:hint="eastAsia" w:ascii="仿宋" w:hAnsi="仿宋" w:eastAsia="仿宋" w:cs="仿宋"/>
          <w:color w:val="auto"/>
          <w:kern w:val="0"/>
          <w:sz w:val="32"/>
          <w:szCs w:val="32"/>
          <w:lang w:eastAsia="zh-CN"/>
        </w:rPr>
        <w:t>整体支出</w:t>
      </w:r>
      <w:r>
        <w:rPr>
          <w:rFonts w:hint="eastAsia" w:ascii="仿宋" w:hAnsi="仿宋" w:eastAsia="仿宋" w:cs="仿宋"/>
          <w:color w:val="auto"/>
          <w:kern w:val="0"/>
          <w:sz w:val="32"/>
          <w:szCs w:val="32"/>
        </w:rPr>
        <w:t>、</w:t>
      </w:r>
      <w:r>
        <w:rPr>
          <w:rFonts w:hint="eastAsia" w:ascii="仿宋" w:hAnsi="仿宋" w:eastAsia="仿宋" w:cs="仿宋"/>
          <w:color w:val="auto"/>
          <w:kern w:val="0"/>
          <w:sz w:val="32"/>
          <w:szCs w:val="32"/>
          <w:lang w:eastAsia="zh-CN"/>
        </w:rPr>
        <w:t>项目支出</w:t>
      </w:r>
      <w:r>
        <w:rPr>
          <w:rFonts w:hint="eastAsia" w:ascii="仿宋" w:hAnsi="仿宋" w:eastAsia="仿宋" w:cs="仿宋"/>
          <w:color w:val="auto"/>
          <w:kern w:val="0"/>
          <w:sz w:val="32"/>
          <w:szCs w:val="32"/>
        </w:rPr>
        <w:t xml:space="preserve"> 等</w:t>
      </w:r>
      <w:r>
        <w:rPr>
          <w:rFonts w:hint="eastAsia" w:ascii="仿宋" w:hAnsi="仿宋" w:eastAsia="仿宋" w:cs="仿宋"/>
          <w:color w:val="auto"/>
          <w:kern w:val="0"/>
          <w:sz w:val="32"/>
          <w:szCs w:val="32"/>
          <w:lang w:val="en-US" w:eastAsia="zh-CN"/>
        </w:rPr>
        <w:t>0</w:t>
      </w:r>
      <w:r>
        <w:rPr>
          <w:rFonts w:hint="eastAsia" w:ascii="仿宋" w:hAnsi="仿宋" w:eastAsia="仿宋" w:cs="仿宋"/>
          <w:color w:val="auto"/>
          <w:kern w:val="0"/>
          <w:sz w:val="32"/>
          <w:szCs w:val="32"/>
        </w:rPr>
        <w:t>个国有资本经营预算项目支出开展绩效自评，共涉及资金</w:t>
      </w:r>
      <w:r>
        <w:rPr>
          <w:rFonts w:hint="eastAsia" w:ascii="仿宋" w:hAnsi="仿宋" w:eastAsia="仿宋" w:cs="仿宋"/>
          <w:color w:val="auto"/>
          <w:kern w:val="0"/>
          <w:sz w:val="32"/>
          <w:szCs w:val="32"/>
          <w:lang w:val="en-US" w:eastAsia="zh-CN"/>
        </w:rPr>
        <w:t>0</w:t>
      </w:r>
      <w:r>
        <w:rPr>
          <w:rFonts w:hint="eastAsia" w:ascii="仿宋" w:hAnsi="仿宋" w:eastAsia="仿宋" w:cs="仿宋"/>
          <w:color w:val="auto"/>
          <w:kern w:val="0"/>
          <w:sz w:val="32"/>
          <w:szCs w:val="32"/>
        </w:rPr>
        <w:t>万元，占国有资本经营预算项目支出总额的</w:t>
      </w:r>
      <w:r>
        <w:rPr>
          <w:rFonts w:hint="eastAsia" w:ascii="仿宋" w:hAnsi="仿宋" w:eastAsia="仿宋" w:cs="仿宋"/>
          <w:color w:val="auto"/>
          <w:kern w:val="0"/>
          <w:sz w:val="32"/>
          <w:szCs w:val="32"/>
          <w:lang w:val="en-US" w:eastAsia="zh-CN"/>
        </w:rPr>
        <w:t>0</w:t>
      </w:r>
      <w:r>
        <w:rPr>
          <w:rFonts w:hint="eastAsia" w:ascii="仿宋" w:hAnsi="仿宋" w:eastAsia="仿宋" w:cs="仿宋"/>
          <w:color w:val="auto"/>
          <w:kern w:val="0"/>
          <w:sz w:val="32"/>
          <w:szCs w:val="32"/>
        </w:rPr>
        <w:t>%。</w:t>
      </w:r>
    </w:p>
    <w:p>
      <w:pPr>
        <w:autoSpaceDE w:val="0"/>
        <w:autoSpaceDN w:val="0"/>
        <w:adjustRightInd w:val="0"/>
        <w:ind w:firstLine="640" w:firstLineChars="200"/>
        <w:jc w:val="left"/>
        <w:rPr>
          <w:rFonts w:hint="eastAsia" w:ascii="仿宋" w:hAnsi="仿宋" w:eastAsia="仿宋" w:cs="仿宋"/>
          <w:color w:val="auto"/>
          <w:kern w:val="0"/>
          <w:sz w:val="32"/>
          <w:szCs w:val="32"/>
          <w:lang w:eastAsia="zh-CN"/>
        </w:rPr>
      </w:pPr>
      <w:r>
        <w:rPr>
          <w:rFonts w:hint="eastAsia" w:ascii="仿宋" w:hAnsi="仿宋" w:eastAsia="仿宋" w:cs="仿宋"/>
          <w:color w:val="auto"/>
          <w:kern w:val="0"/>
          <w:sz w:val="32"/>
          <w:szCs w:val="32"/>
        </w:rPr>
        <w:t>组织对“</w:t>
      </w:r>
      <w:r>
        <w:rPr>
          <w:rFonts w:hint="eastAsia" w:ascii="仿宋" w:hAnsi="仿宋" w:eastAsia="仿宋" w:cs="仿宋"/>
          <w:color w:val="auto"/>
          <w:kern w:val="0"/>
          <w:sz w:val="32"/>
          <w:szCs w:val="32"/>
          <w:lang w:eastAsia="zh-CN"/>
        </w:rPr>
        <w:t>整体支出</w:t>
      </w:r>
      <w:r>
        <w:rPr>
          <w:rFonts w:hint="eastAsia" w:ascii="仿宋" w:hAnsi="仿宋" w:eastAsia="仿宋" w:cs="仿宋"/>
          <w:color w:val="auto"/>
          <w:kern w:val="0"/>
          <w:sz w:val="32"/>
          <w:szCs w:val="32"/>
        </w:rPr>
        <w:t>、</w:t>
      </w:r>
      <w:r>
        <w:rPr>
          <w:rFonts w:hint="eastAsia" w:ascii="仿宋" w:hAnsi="仿宋" w:eastAsia="仿宋" w:cs="仿宋"/>
          <w:color w:val="auto"/>
          <w:kern w:val="0"/>
          <w:sz w:val="32"/>
          <w:szCs w:val="32"/>
          <w:lang w:eastAsia="zh-CN"/>
        </w:rPr>
        <w:t>项目支出</w:t>
      </w:r>
      <w:r>
        <w:rPr>
          <w:rFonts w:hint="eastAsia" w:ascii="仿宋" w:hAnsi="仿宋" w:eastAsia="仿宋" w:cs="仿宋"/>
          <w:color w:val="auto"/>
          <w:kern w:val="0"/>
          <w:sz w:val="32"/>
          <w:szCs w:val="32"/>
        </w:rPr>
        <w:t>”等</w:t>
      </w:r>
      <w:r>
        <w:rPr>
          <w:rFonts w:hint="eastAsia" w:ascii="仿宋" w:hAnsi="仿宋" w:eastAsia="仿宋" w:cs="仿宋"/>
          <w:color w:val="auto"/>
          <w:kern w:val="0"/>
          <w:sz w:val="32"/>
          <w:szCs w:val="32"/>
          <w:lang w:val="en-US" w:eastAsia="zh-CN"/>
        </w:rPr>
        <w:t>5</w:t>
      </w:r>
      <w:r>
        <w:rPr>
          <w:rFonts w:hint="eastAsia" w:ascii="仿宋" w:hAnsi="仿宋" w:eastAsia="仿宋" w:cs="仿宋"/>
          <w:color w:val="auto"/>
          <w:kern w:val="0"/>
          <w:sz w:val="32"/>
          <w:szCs w:val="32"/>
        </w:rPr>
        <w:t>个项目开展了部门评价，涉及一般公共预算支出</w:t>
      </w:r>
      <w:r>
        <w:rPr>
          <w:rFonts w:hint="eastAsia" w:ascii="仿宋" w:hAnsi="仿宋" w:eastAsia="仿宋" w:cs="仿宋"/>
          <w:color w:val="auto"/>
          <w:kern w:val="0"/>
          <w:sz w:val="32"/>
          <w:szCs w:val="32"/>
          <w:lang w:val="en-US" w:eastAsia="zh-CN"/>
        </w:rPr>
        <w:t>1061.98</w:t>
      </w:r>
      <w:r>
        <w:rPr>
          <w:rFonts w:hint="eastAsia" w:ascii="仿宋" w:hAnsi="仿宋" w:eastAsia="仿宋" w:cs="仿宋"/>
          <w:color w:val="auto"/>
          <w:kern w:val="0"/>
          <w:sz w:val="32"/>
          <w:szCs w:val="32"/>
        </w:rPr>
        <w:t>万元，政府性基金预算支出</w:t>
      </w:r>
      <w:r>
        <w:rPr>
          <w:rFonts w:hint="eastAsia" w:ascii="仿宋" w:hAnsi="仿宋" w:eastAsia="仿宋" w:cs="仿宋"/>
          <w:color w:val="auto"/>
          <w:kern w:val="0"/>
          <w:sz w:val="32"/>
          <w:szCs w:val="32"/>
          <w:lang w:val="en-US" w:eastAsia="zh-CN"/>
        </w:rPr>
        <w:t>0</w:t>
      </w:r>
      <w:r>
        <w:rPr>
          <w:rFonts w:hint="eastAsia" w:ascii="仿宋" w:hAnsi="仿宋" w:eastAsia="仿宋" w:cs="仿宋"/>
          <w:color w:val="auto"/>
          <w:kern w:val="0"/>
          <w:sz w:val="32"/>
          <w:szCs w:val="32"/>
        </w:rPr>
        <w:t>万元，国有资本经营预算支出</w:t>
      </w:r>
      <w:r>
        <w:rPr>
          <w:rFonts w:hint="eastAsia" w:ascii="仿宋" w:hAnsi="仿宋" w:eastAsia="仿宋" w:cs="仿宋"/>
          <w:color w:val="auto"/>
          <w:kern w:val="0"/>
          <w:sz w:val="32"/>
          <w:szCs w:val="32"/>
          <w:lang w:val="en-US" w:eastAsia="zh-CN"/>
        </w:rPr>
        <w:t>0</w:t>
      </w:r>
      <w:r>
        <w:rPr>
          <w:rFonts w:hint="eastAsia" w:ascii="仿宋" w:hAnsi="仿宋" w:eastAsia="仿宋" w:cs="仿宋"/>
          <w:color w:val="auto"/>
          <w:kern w:val="0"/>
          <w:sz w:val="32"/>
          <w:szCs w:val="32"/>
        </w:rPr>
        <w:t xml:space="preserve"> 万元。从评价情况来看，预算绩效评价情况</w:t>
      </w:r>
      <w:r>
        <w:rPr>
          <w:rFonts w:hint="eastAsia" w:ascii="仿宋" w:hAnsi="仿宋" w:eastAsia="仿宋" w:cs="仿宋"/>
          <w:color w:val="auto"/>
          <w:kern w:val="0"/>
          <w:sz w:val="32"/>
          <w:szCs w:val="32"/>
          <w:lang w:eastAsia="zh-CN"/>
        </w:rPr>
        <w:t>基本能按预期完成。</w:t>
      </w:r>
    </w:p>
    <w:p>
      <w:pPr>
        <w:autoSpaceDE w:val="0"/>
        <w:autoSpaceDN w:val="0"/>
        <w:adjustRightInd w:val="0"/>
        <w:ind w:firstLine="640" w:firstLineChars="200"/>
        <w:jc w:val="left"/>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组织对“</w:t>
      </w:r>
      <w:r>
        <w:rPr>
          <w:rFonts w:hint="eastAsia" w:ascii="仿宋" w:hAnsi="仿宋" w:eastAsia="仿宋" w:cs="仿宋"/>
          <w:color w:val="auto"/>
          <w:kern w:val="0"/>
          <w:sz w:val="32"/>
          <w:szCs w:val="32"/>
          <w:lang w:eastAsia="zh-CN"/>
        </w:rPr>
        <w:t>整体支出</w:t>
      </w:r>
      <w:r>
        <w:rPr>
          <w:rFonts w:hint="eastAsia" w:ascii="仿宋" w:hAnsi="仿宋" w:eastAsia="仿宋" w:cs="仿宋"/>
          <w:color w:val="auto"/>
          <w:kern w:val="0"/>
          <w:sz w:val="32"/>
          <w:szCs w:val="32"/>
        </w:rPr>
        <w:t>、</w:t>
      </w:r>
      <w:r>
        <w:rPr>
          <w:rFonts w:hint="eastAsia" w:ascii="仿宋" w:hAnsi="仿宋" w:eastAsia="仿宋" w:cs="仿宋"/>
          <w:color w:val="auto"/>
          <w:kern w:val="0"/>
          <w:sz w:val="32"/>
          <w:szCs w:val="32"/>
          <w:lang w:eastAsia="zh-CN"/>
        </w:rPr>
        <w:t>项目支出</w:t>
      </w:r>
      <w:r>
        <w:rPr>
          <w:rFonts w:hint="eastAsia" w:ascii="仿宋" w:hAnsi="仿宋" w:eastAsia="仿宋" w:cs="仿宋"/>
          <w:color w:val="auto"/>
          <w:kern w:val="0"/>
          <w:sz w:val="32"/>
          <w:szCs w:val="32"/>
        </w:rPr>
        <w:t>”等</w:t>
      </w:r>
      <w:r>
        <w:rPr>
          <w:rFonts w:hint="eastAsia" w:ascii="仿宋" w:hAnsi="仿宋" w:eastAsia="仿宋" w:cs="仿宋"/>
          <w:color w:val="auto"/>
          <w:kern w:val="0"/>
          <w:sz w:val="32"/>
          <w:szCs w:val="32"/>
          <w:lang w:val="en-US" w:eastAsia="zh-CN"/>
        </w:rPr>
        <w:t>1</w:t>
      </w:r>
      <w:r>
        <w:rPr>
          <w:rFonts w:hint="eastAsia" w:ascii="仿宋" w:hAnsi="仿宋" w:eastAsia="仿宋" w:cs="仿宋"/>
          <w:color w:val="auto"/>
          <w:kern w:val="0"/>
          <w:sz w:val="32"/>
          <w:szCs w:val="32"/>
        </w:rPr>
        <w:t>个单位开展整体支出绩效评价，涉及一般公共预算支出</w:t>
      </w:r>
      <w:r>
        <w:rPr>
          <w:rFonts w:hint="eastAsia" w:ascii="仿宋" w:hAnsi="仿宋" w:eastAsia="仿宋" w:cs="仿宋"/>
          <w:color w:val="auto"/>
          <w:kern w:val="0"/>
          <w:sz w:val="32"/>
          <w:szCs w:val="32"/>
          <w:lang w:val="en-US" w:eastAsia="zh-CN"/>
        </w:rPr>
        <w:t>1061.98</w:t>
      </w:r>
      <w:r>
        <w:rPr>
          <w:rFonts w:hint="eastAsia" w:ascii="仿宋" w:hAnsi="仿宋" w:eastAsia="仿宋" w:cs="仿宋"/>
          <w:color w:val="auto"/>
          <w:kern w:val="0"/>
          <w:sz w:val="32"/>
          <w:szCs w:val="32"/>
        </w:rPr>
        <w:t xml:space="preserve"> 万元，政府性基金预算支出</w:t>
      </w:r>
      <w:r>
        <w:rPr>
          <w:rFonts w:hint="eastAsia" w:ascii="仿宋" w:hAnsi="仿宋" w:eastAsia="仿宋" w:cs="仿宋"/>
          <w:color w:val="auto"/>
          <w:kern w:val="0"/>
          <w:sz w:val="32"/>
          <w:szCs w:val="32"/>
          <w:lang w:val="en-US" w:eastAsia="zh-CN"/>
        </w:rPr>
        <w:t>0</w:t>
      </w:r>
      <w:r>
        <w:rPr>
          <w:rFonts w:hint="eastAsia" w:ascii="仿宋" w:hAnsi="仿宋" w:eastAsia="仿宋" w:cs="仿宋"/>
          <w:color w:val="auto"/>
          <w:kern w:val="0"/>
          <w:sz w:val="32"/>
          <w:szCs w:val="32"/>
        </w:rPr>
        <w:t xml:space="preserve"> 万元。从评价情况来看，</w:t>
      </w:r>
      <w:r>
        <w:rPr>
          <w:rFonts w:hint="eastAsia" w:ascii="仿宋" w:hAnsi="仿宋" w:eastAsia="仿宋" w:cs="仿宋"/>
          <w:color w:val="auto"/>
          <w:kern w:val="0"/>
          <w:sz w:val="32"/>
          <w:szCs w:val="32"/>
          <w:lang w:val="en-US" w:eastAsia="zh-CN"/>
        </w:rPr>
        <w:t xml:space="preserve"> </w:t>
      </w:r>
      <w:r>
        <w:rPr>
          <w:rFonts w:hint="eastAsia" w:ascii="仿宋" w:hAnsi="仿宋" w:eastAsia="仿宋" w:cs="仿宋"/>
          <w:color w:val="auto"/>
          <w:kern w:val="0"/>
          <w:sz w:val="32"/>
          <w:szCs w:val="32"/>
        </w:rPr>
        <w:t>整体支出绩效评价情况</w:t>
      </w:r>
      <w:r>
        <w:rPr>
          <w:rFonts w:hint="eastAsia" w:ascii="仿宋" w:hAnsi="仿宋" w:eastAsia="仿宋" w:cs="仿宋"/>
          <w:color w:val="auto"/>
          <w:kern w:val="0"/>
          <w:sz w:val="32"/>
          <w:szCs w:val="32"/>
          <w:lang w:eastAsia="zh-CN"/>
        </w:rPr>
        <w:t>基本能按预期完成</w:t>
      </w:r>
      <w:r>
        <w:rPr>
          <w:rFonts w:hint="eastAsia" w:ascii="仿宋" w:hAnsi="仿宋" w:eastAsia="仿宋" w:cs="仿宋"/>
          <w:color w:val="auto"/>
          <w:kern w:val="0"/>
          <w:sz w:val="32"/>
          <w:szCs w:val="32"/>
        </w:rPr>
        <w:t>。</w:t>
      </w:r>
    </w:p>
    <w:p>
      <w:pPr>
        <w:autoSpaceDE w:val="0"/>
        <w:autoSpaceDN w:val="0"/>
        <w:adjustRightInd w:val="0"/>
        <w:ind w:firstLine="643" w:firstLineChars="200"/>
        <w:jc w:val="left"/>
        <w:rPr>
          <w:rFonts w:hint="eastAsia" w:ascii="仿宋" w:hAnsi="仿宋" w:eastAsia="仿宋" w:cs="仿宋"/>
          <w:b/>
          <w:color w:val="auto"/>
          <w:kern w:val="0"/>
          <w:sz w:val="32"/>
          <w:szCs w:val="32"/>
        </w:rPr>
      </w:pPr>
      <w:r>
        <w:rPr>
          <w:rFonts w:hint="eastAsia" w:ascii="仿宋" w:hAnsi="仿宋" w:eastAsia="仿宋" w:cs="仿宋"/>
          <w:b/>
          <w:color w:val="auto"/>
          <w:kern w:val="0"/>
          <w:sz w:val="32"/>
          <w:szCs w:val="32"/>
        </w:rPr>
        <w:t>（2）部门决算中项目绩效自评结果。</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default" w:ascii="仿宋" w:hAnsi="仿宋" w:eastAsia="仿宋" w:cs="仿宋"/>
          <w:color w:val="auto"/>
          <w:kern w:val="0"/>
          <w:sz w:val="32"/>
          <w:szCs w:val="32"/>
        </w:rPr>
      </w:pPr>
      <w:r>
        <w:rPr>
          <w:rFonts w:hint="eastAsia" w:ascii="仿宋" w:hAnsi="仿宋" w:eastAsia="仿宋" w:cs="仿宋"/>
          <w:color w:val="auto"/>
          <w:kern w:val="0"/>
          <w:sz w:val="32"/>
          <w:szCs w:val="32"/>
          <w:lang w:val="en-US" w:eastAsia="zh-CN"/>
        </w:rPr>
        <w:t xml:space="preserve"> 2022年整体</w:t>
      </w:r>
      <w:r>
        <w:rPr>
          <w:rFonts w:hint="eastAsia" w:ascii="仿宋" w:hAnsi="仿宋" w:eastAsia="仿宋" w:cs="仿宋"/>
          <w:color w:val="auto"/>
          <w:kern w:val="0"/>
          <w:sz w:val="32"/>
          <w:szCs w:val="32"/>
        </w:rPr>
        <w:t>项目绩效自评综述：根据年初设定的绩效目标，项目绩效自评得分为</w:t>
      </w:r>
      <w:r>
        <w:rPr>
          <w:rFonts w:hint="eastAsia" w:ascii="仿宋" w:hAnsi="仿宋" w:eastAsia="仿宋" w:cs="仿宋"/>
          <w:color w:val="auto"/>
          <w:kern w:val="0"/>
          <w:sz w:val="32"/>
          <w:szCs w:val="32"/>
          <w:lang w:val="en-US" w:eastAsia="zh-CN"/>
        </w:rPr>
        <w:t>95</w:t>
      </w:r>
      <w:r>
        <w:rPr>
          <w:rFonts w:hint="eastAsia" w:ascii="仿宋" w:hAnsi="仿宋" w:eastAsia="仿宋" w:cs="仿宋"/>
          <w:color w:val="auto"/>
          <w:kern w:val="0"/>
          <w:sz w:val="32"/>
          <w:szCs w:val="32"/>
        </w:rPr>
        <w:t xml:space="preserve"> 分。项目全年预算数为</w:t>
      </w:r>
      <w:r>
        <w:rPr>
          <w:rFonts w:hint="eastAsia" w:ascii="仿宋" w:hAnsi="仿宋" w:eastAsia="仿宋" w:cs="仿宋"/>
          <w:color w:val="auto"/>
          <w:kern w:val="0"/>
          <w:sz w:val="32"/>
          <w:szCs w:val="32"/>
          <w:lang w:val="en-US" w:eastAsia="zh-CN"/>
        </w:rPr>
        <w:t>1061.98</w:t>
      </w:r>
      <w:r>
        <w:rPr>
          <w:rFonts w:hint="eastAsia" w:ascii="仿宋" w:hAnsi="仿宋" w:eastAsia="仿宋" w:cs="仿宋"/>
          <w:color w:val="auto"/>
          <w:kern w:val="0"/>
          <w:sz w:val="32"/>
          <w:szCs w:val="32"/>
        </w:rPr>
        <w:t xml:space="preserve"> 万元，执行数为</w:t>
      </w:r>
      <w:r>
        <w:rPr>
          <w:rFonts w:hint="eastAsia" w:ascii="仿宋" w:hAnsi="仿宋" w:eastAsia="仿宋" w:cs="仿宋"/>
          <w:color w:val="auto"/>
          <w:kern w:val="0"/>
          <w:sz w:val="32"/>
          <w:szCs w:val="32"/>
          <w:lang w:val="en-US" w:eastAsia="zh-CN"/>
        </w:rPr>
        <w:t>1061.98</w:t>
      </w:r>
      <w:r>
        <w:rPr>
          <w:rFonts w:hint="eastAsia" w:ascii="仿宋" w:hAnsi="仿宋" w:eastAsia="仿宋" w:cs="仿宋"/>
          <w:color w:val="auto"/>
          <w:kern w:val="0"/>
          <w:sz w:val="32"/>
          <w:szCs w:val="32"/>
        </w:rPr>
        <w:t>万元，完成预算的</w:t>
      </w:r>
      <w:r>
        <w:rPr>
          <w:rFonts w:hint="eastAsia" w:ascii="仿宋" w:hAnsi="仿宋" w:eastAsia="仿宋" w:cs="仿宋"/>
          <w:color w:val="auto"/>
          <w:kern w:val="0"/>
          <w:sz w:val="32"/>
          <w:szCs w:val="32"/>
          <w:lang w:val="en-US" w:eastAsia="zh-CN"/>
        </w:rPr>
        <w:t>100</w:t>
      </w:r>
      <w:r>
        <w:rPr>
          <w:rFonts w:hint="eastAsia" w:ascii="仿宋" w:hAnsi="仿宋" w:eastAsia="仿宋" w:cs="仿宋"/>
          <w:color w:val="auto"/>
          <w:kern w:val="0"/>
          <w:sz w:val="32"/>
          <w:szCs w:val="32"/>
        </w:rPr>
        <w:t>%。项目绩效目标完成情况：</w:t>
      </w:r>
      <w:r>
        <w:rPr>
          <w:rFonts w:hint="eastAsia" w:ascii="仿宋" w:hAnsi="仿宋" w:eastAsia="仿宋" w:cs="仿宋"/>
          <w:color w:val="auto"/>
          <w:kern w:val="0"/>
          <w:sz w:val="32"/>
          <w:szCs w:val="32"/>
          <w:lang w:val="en-US" w:eastAsia="zh-CN"/>
        </w:rPr>
        <w:t>2022</w:t>
      </w:r>
      <w:r>
        <w:rPr>
          <w:rFonts w:hint="eastAsia" w:ascii="仿宋" w:hAnsi="仿宋" w:eastAsia="仿宋" w:cs="仿宋"/>
          <w:color w:val="auto"/>
          <w:kern w:val="0"/>
          <w:sz w:val="32"/>
          <w:szCs w:val="32"/>
        </w:rPr>
        <w:t>年</w:t>
      </w:r>
      <w:r>
        <w:rPr>
          <w:rFonts w:hint="eastAsia" w:ascii="仿宋" w:hAnsi="仿宋" w:eastAsia="仿宋" w:cs="仿宋"/>
          <w:color w:val="auto"/>
          <w:kern w:val="0"/>
          <w:sz w:val="32"/>
          <w:szCs w:val="32"/>
          <w:lang w:eastAsia="zh-CN"/>
        </w:rPr>
        <w:t>本年</w:t>
      </w:r>
      <w:r>
        <w:rPr>
          <w:rFonts w:hint="eastAsia" w:ascii="仿宋" w:hAnsi="仿宋" w:eastAsia="仿宋" w:cs="仿宋"/>
          <w:color w:val="auto"/>
          <w:kern w:val="0"/>
          <w:sz w:val="32"/>
          <w:szCs w:val="32"/>
        </w:rPr>
        <w:t>收入</w:t>
      </w:r>
      <w:r>
        <w:rPr>
          <w:rFonts w:hint="eastAsia" w:ascii="仿宋" w:hAnsi="仿宋" w:eastAsia="仿宋" w:cs="仿宋"/>
          <w:color w:val="auto"/>
          <w:kern w:val="0"/>
          <w:sz w:val="32"/>
          <w:szCs w:val="32"/>
          <w:lang w:val="en-US" w:eastAsia="zh-CN"/>
        </w:rPr>
        <w:t>967.16</w:t>
      </w:r>
      <w:r>
        <w:rPr>
          <w:rFonts w:hint="eastAsia" w:ascii="仿宋" w:hAnsi="仿宋" w:eastAsia="仿宋" w:cs="仿宋"/>
          <w:color w:val="auto"/>
          <w:kern w:val="0"/>
          <w:sz w:val="32"/>
          <w:szCs w:val="32"/>
        </w:rPr>
        <w:t>万元，</w:t>
      </w:r>
      <w:r>
        <w:rPr>
          <w:rFonts w:hint="eastAsia" w:ascii="仿宋" w:hAnsi="仿宋" w:eastAsia="仿宋" w:cs="仿宋"/>
          <w:color w:val="auto"/>
          <w:kern w:val="0"/>
          <w:sz w:val="32"/>
          <w:szCs w:val="32"/>
          <w:lang w:eastAsia="zh-CN"/>
        </w:rPr>
        <w:t>本年</w:t>
      </w:r>
      <w:r>
        <w:rPr>
          <w:rFonts w:hint="eastAsia" w:ascii="仿宋" w:hAnsi="仿宋" w:eastAsia="仿宋" w:cs="仿宋"/>
          <w:color w:val="auto"/>
          <w:kern w:val="0"/>
          <w:sz w:val="32"/>
          <w:szCs w:val="32"/>
        </w:rPr>
        <w:t>支出</w:t>
      </w:r>
      <w:r>
        <w:rPr>
          <w:rFonts w:hint="eastAsia" w:ascii="仿宋" w:hAnsi="仿宋" w:eastAsia="仿宋" w:cs="仿宋"/>
          <w:color w:val="auto"/>
          <w:kern w:val="0"/>
          <w:sz w:val="32"/>
          <w:szCs w:val="32"/>
          <w:lang w:val="en-US" w:eastAsia="zh-CN"/>
        </w:rPr>
        <w:t>1061.98</w:t>
      </w:r>
      <w:r>
        <w:rPr>
          <w:rFonts w:hint="eastAsia" w:ascii="仿宋" w:hAnsi="仿宋" w:eastAsia="仿宋" w:cs="仿宋"/>
          <w:color w:val="auto"/>
          <w:kern w:val="0"/>
          <w:sz w:val="32"/>
          <w:szCs w:val="32"/>
        </w:rPr>
        <w:t>万元，年末</w:t>
      </w:r>
      <w:r>
        <w:rPr>
          <w:rFonts w:hint="eastAsia" w:ascii="仿宋" w:hAnsi="仿宋" w:eastAsia="仿宋" w:cs="仿宋"/>
          <w:color w:val="auto"/>
          <w:kern w:val="0"/>
          <w:sz w:val="32"/>
          <w:szCs w:val="32"/>
          <w:lang w:eastAsia="zh-CN"/>
        </w:rPr>
        <w:t>结转</w:t>
      </w:r>
      <w:r>
        <w:rPr>
          <w:rFonts w:hint="eastAsia" w:ascii="仿宋" w:hAnsi="仿宋" w:eastAsia="仿宋" w:cs="仿宋"/>
          <w:color w:val="auto"/>
          <w:kern w:val="0"/>
          <w:sz w:val="32"/>
          <w:szCs w:val="32"/>
        </w:rPr>
        <w:t>结余</w:t>
      </w:r>
      <w:r>
        <w:rPr>
          <w:rFonts w:hint="eastAsia" w:ascii="仿宋" w:hAnsi="仿宋" w:eastAsia="仿宋" w:cs="仿宋"/>
          <w:color w:val="auto"/>
          <w:kern w:val="0"/>
          <w:sz w:val="32"/>
          <w:szCs w:val="32"/>
          <w:lang w:val="en-US" w:eastAsia="zh-CN"/>
        </w:rPr>
        <w:t>94.81</w:t>
      </w:r>
      <w:r>
        <w:rPr>
          <w:rFonts w:hint="eastAsia" w:ascii="仿宋" w:hAnsi="仿宋" w:eastAsia="仿宋" w:cs="仿宋"/>
          <w:color w:val="auto"/>
          <w:kern w:val="0"/>
          <w:sz w:val="32"/>
          <w:szCs w:val="32"/>
        </w:rPr>
        <w:t>万元。</w:t>
      </w:r>
      <w:r>
        <w:rPr>
          <w:rFonts w:hint="default" w:ascii="仿宋" w:hAnsi="仿宋" w:eastAsia="仿宋" w:cs="仿宋"/>
          <w:color w:val="auto"/>
          <w:kern w:val="0"/>
          <w:sz w:val="32"/>
          <w:szCs w:val="32"/>
        </w:rPr>
        <w:t>年初预算</w:t>
      </w:r>
      <w:r>
        <w:rPr>
          <w:rFonts w:hint="eastAsia" w:ascii="仿宋" w:hAnsi="仿宋" w:eastAsia="仿宋" w:cs="仿宋"/>
          <w:color w:val="auto"/>
          <w:kern w:val="0"/>
          <w:sz w:val="32"/>
          <w:szCs w:val="32"/>
          <w:lang w:val="en-US" w:eastAsia="zh-CN"/>
        </w:rPr>
        <w:t>471.98</w:t>
      </w:r>
      <w:r>
        <w:rPr>
          <w:rFonts w:hint="default" w:ascii="仿宋" w:hAnsi="仿宋" w:eastAsia="仿宋" w:cs="仿宋"/>
          <w:color w:val="auto"/>
          <w:kern w:val="0"/>
          <w:sz w:val="32"/>
          <w:szCs w:val="32"/>
        </w:rPr>
        <w:t>万元。</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auto"/>
          <w:kern w:val="0"/>
          <w:sz w:val="32"/>
          <w:szCs w:val="32"/>
        </w:rPr>
      </w:pPr>
      <w:bookmarkStart w:id="0" w:name="_GoBack"/>
      <w:bookmarkEnd w:id="0"/>
      <w:r>
        <w:rPr>
          <w:rFonts w:hint="eastAsia" w:ascii="仿宋" w:hAnsi="仿宋" w:eastAsia="仿宋" w:cs="仿宋"/>
          <w:color w:val="auto"/>
          <w:kern w:val="0"/>
          <w:sz w:val="32"/>
          <w:szCs w:val="32"/>
        </w:rPr>
        <w:t>决算支出中，基本支出</w:t>
      </w:r>
      <w:r>
        <w:rPr>
          <w:rFonts w:hint="eastAsia" w:ascii="仿宋" w:hAnsi="仿宋" w:eastAsia="仿宋" w:cs="仿宋"/>
          <w:color w:val="auto"/>
          <w:kern w:val="0"/>
          <w:sz w:val="32"/>
          <w:szCs w:val="32"/>
          <w:lang w:val="en-US" w:eastAsia="zh-CN"/>
        </w:rPr>
        <w:t>671.98</w:t>
      </w:r>
      <w:r>
        <w:rPr>
          <w:rFonts w:hint="eastAsia" w:ascii="仿宋" w:hAnsi="仿宋" w:eastAsia="仿宋" w:cs="仿宋"/>
          <w:color w:val="auto"/>
          <w:kern w:val="0"/>
          <w:sz w:val="32"/>
          <w:szCs w:val="32"/>
        </w:rPr>
        <w:t>万元，项目支出</w:t>
      </w:r>
      <w:r>
        <w:rPr>
          <w:rFonts w:hint="eastAsia" w:ascii="仿宋" w:hAnsi="仿宋" w:eastAsia="仿宋" w:cs="仿宋"/>
          <w:color w:val="auto"/>
          <w:kern w:val="0"/>
          <w:sz w:val="32"/>
          <w:szCs w:val="32"/>
          <w:lang w:val="en-US" w:eastAsia="zh-CN"/>
        </w:rPr>
        <w:t>390</w:t>
      </w:r>
      <w:r>
        <w:rPr>
          <w:rFonts w:hint="eastAsia" w:ascii="仿宋" w:hAnsi="仿宋" w:eastAsia="仿宋" w:cs="仿宋"/>
          <w:color w:val="auto"/>
          <w:kern w:val="0"/>
          <w:sz w:val="32"/>
          <w:szCs w:val="32"/>
        </w:rPr>
        <w:t>万元。</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default" w:ascii="仿宋" w:hAnsi="仿宋" w:eastAsia="仿宋" w:cs="仿宋"/>
          <w:color w:val="auto"/>
          <w:kern w:val="0"/>
          <w:sz w:val="32"/>
          <w:szCs w:val="32"/>
        </w:rPr>
      </w:pPr>
      <w:r>
        <w:rPr>
          <w:rFonts w:hint="eastAsia" w:ascii="仿宋" w:hAnsi="仿宋" w:eastAsia="仿宋" w:cs="仿宋"/>
          <w:color w:val="auto"/>
          <w:kern w:val="0"/>
          <w:sz w:val="32"/>
          <w:szCs w:val="32"/>
          <w:lang w:val="en-US" w:eastAsia="zh-CN"/>
        </w:rPr>
        <w:t>一般公共服务支出106.26万元，</w:t>
      </w:r>
      <w:r>
        <w:rPr>
          <w:rFonts w:hint="default" w:ascii="仿宋" w:hAnsi="仿宋" w:eastAsia="仿宋" w:cs="仿宋"/>
          <w:color w:val="auto"/>
          <w:kern w:val="0"/>
          <w:sz w:val="32"/>
          <w:szCs w:val="32"/>
        </w:rPr>
        <w:t>社会保障和就业支出</w:t>
      </w:r>
      <w:r>
        <w:rPr>
          <w:rFonts w:hint="eastAsia" w:ascii="仿宋" w:hAnsi="仿宋" w:eastAsia="仿宋" w:cs="仿宋"/>
          <w:color w:val="auto"/>
          <w:kern w:val="0"/>
          <w:sz w:val="32"/>
          <w:szCs w:val="32"/>
          <w:lang w:val="en-US" w:eastAsia="zh-CN"/>
        </w:rPr>
        <w:t>37.48</w:t>
      </w:r>
      <w:r>
        <w:rPr>
          <w:rFonts w:hint="default" w:ascii="仿宋" w:hAnsi="仿宋" w:eastAsia="仿宋" w:cs="仿宋"/>
          <w:color w:val="auto"/>
          <w:kern w:val="0"/>
          <w:sz w:val="32"/>
          <w:szCs w:val="32"/>
        </w:rPr>
        <w:t>万元，卫生健康支出</w:t>
      </w:r>
      <w:r>
        <w:rPr>
          <w:rFonts w:hint="eastAsia" w:ascii="仿宋" w:hAnsi="仿宋" w:eastAsia="仿宋" w:cs="仿宋"/>
          <w:color w:val="auto"/>
          <w:kern w:val="0"/>
          <w:sz w:val="32"/>
          <w:szCs w:val="32"/>
          <w:lang w:val="en-US" w:eastAsia="zh-CN"/>
        </w:rPr>
        <w:t>20.08</w:t>
      </w:r>
      <w:r>
        <w:rPr>
          <w:rFonts w:hint="default" w:ascii="仿宋" w:hAnsi="仿宋" w:eastAsia="仿宋" w:cs="仿宋"/>
          <w:color w:val="auto"/>
          <w:kern w:val="0"/>
          <w:sz w:val="32"/>
          <w:szCs w:val="32"/>
        </w:rPr>
        <w:t>万元，</w:t>
      </w:r>
      <w:r>
        <w:rPr>
          <w:rFonts w:hint="eastAsia" w:ascii="仿宋" w:hAnsi="仿宋" w:eastAsia="仿宋" w:cs="仿宋"/>
          <w:color w:val="auto"/>
          <w:kern w:val="0"/>
          <w:sz w:val="32"/>
          <w:szCs w:val="32"/>
          <w:lang w:val="en-US" w:eastAsia="zh-CN"/>
        </w:rPr>
        <w:t>多资源勘探工业信息等</w:t>
      </w:r>
      <w:r>
        <w:rPr>
          <w:rFonts w:hint="default" w:ascii="仿宋" w:hAnsi="仿宋" w:eastAsia="仿宋" w:cs="仿宋"/>
          <w:color w:val="auto"/>
          <w:kern w:val="0"/>
          <w:sz w:val="32"/>
          <w:szCs w:val="32"/>
        </w:rPr>
        <w:t>支出</w:t>
      </w:r>
      <w:r>
        <w:rPr>
          <w:rFonts w:hint="eastAsia" w:ascii="仿宋" w:hAnsi="仿宋" w:eastAsia="仿宋" w:cs="仿宋"/>
          <w:color w:val="auto"/>
          <w:kern w:val="0"/>
          <w:sz w:val="32"/>
          <w:szCs w:val="32"/>
          <w:lang w:val="en-US" w:eastAsia="zh-CN"/>
        </w:rPr>
        <w:t>68.96</w:t>
      </w:r>
      <w:r>
        <w:rPr>
          <w:rFonts w:hint="default" w:ascii="仿宋" w:hAnsi="仿宋" w:eastAsia="仿宋" w:cs="仿宋"/>
          <w:color w:val="auto"/>
          <w:kern w:val="0"/>
          <w:sz w:val="32"/>
          <w:szCs w:val="32"/>
        </w:rPr>
        <w:t>万元，灾害防治及应急管理支出</w:t>
      </w:r>
      <w:r>
        <w:rPr>
          <w:rFonts w:hint="eastAsia" w:ascii="仿宋" w:hAnsi="仿宋" w:eastAsia="仿宋" w:cs="仿宋"/>
          <w:color w:val="auto"/>
          <w:kern w:val="0"/>
          <w:sz w:val="32"/>
          <w:szCs w:val="32"/>
          <w:lang w:val="en-US" w:eastAsia="zh-CN"/>
        </w:rPr>
        <w:t>439.19</w:t>
      </w:r>
      <w:r>
        <w:rPr>
          <w:rFonts w:hint="default" w:ascii="仿宋" w:hAnsi="仿宋" w:eastAsia="仿宋" w:cs="仿宋"/>
          <w:color w:val="auto"/>
          <w:kern w:val="0"/>
          <w:sz w:val="32"/>
          <w:szCs w:val="32"/>
        </w:rPr>
        <w:t>万元，</w:t>
      </w:r>
      <w:r>
        <w:rPr>
          <w:rFonts w:hint="eastAsia" w:ascii="仿宋" w:hAnsi="仿宋" w:eastAsia="仿宋" w:cs="仿宋"/>
          <w:color w:val="auto"/>
          <w:kern w:val="0"/>
          <w:sz w:val="32"/>
          <w:szCs w:val="32"/>
          <w:lang w:val="en-US" w:eastAsia="zh-CN"/>
        </w:rPr>
        <w:t>灾害及应急管理</w:t>
      </w:r>
      <w:r>
        <w:rPr>
          <w:rFonts w:hint="default" w:ascii="仿宋" w:hAnsi="仿宋" w:eastAsia="仿宋" w:cs="仿宋"/>
          <w:color w:val="auto"/>
          <w:kern w:val="0"/>
          <w:sz w:val="32"/>
          <w:szCs w:val="32"/>
        </w:rPr>
        <w:t>项目支出</w:t>
      </w:r>
      <w:r>
        <w:rPr>
          <w:rFonts w:hint="eastAsia" w:ascii="仿宋" w:hAnsi="仿宋" w:eastAsia="仿宋" w:cs="仿宋"/>
          <w:color w:val="auto"/>
          <w:kern w:val="0"/>
          <w:sz w:val="32"/>
          <w:szCs w:val="32"/>
          <w:lang w:val="en-US" w:eastAsia="zh-CN"/>
        </w:rPr>
        <w:t>390</w:t>
      </w:r>
      <w:r>
        <w:rPr>
          <w:rFonts w:hint="default" w:ascii="仿宋" w:hAnsi="仿宋" w:eastAsia="仿宋" w:cs="仿宋"/>
          <w:color w:val="auto"/>
          <w:kern w:val="0"/>
          <w:sz w:val="32"/>
          <w:szCs w:val="32"/>
        </w:rPr>
        <w:t>万元。</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default" w:ascii="仿宋" w:hAnsi="仿宋" w:eastAsia="仿宋" w:cs="仿宋"/>
          <w:color w:val="auto"/>
          <w:kern w:val="0"/>
          <w:sz w:val="32"/>
          <w:szCs w:val="32"/>
        </w:rPr>
      </w:pPr>
      <w:r>
        <w:rPr>
          <w:rFonts w:hint="default" w:ascii="仿宋" w:hAnsi="仿宋" w:eastAsia="仿宋" w:cs="仿宋"/>
          <w:color w:val="auto"/>
          <w:kern w:val="0"/>
          <w:sz w:val="32"/>
          <w:szCs w:val="32"/>
        </w:rPr>
        <w:t>严格控制“三公”经费支出。202</w:t>
      </w:r>
      <w:r>
        <w:rPr>
          <w:rFonts w:hint="eastAsia" w:ascii="仿宋" w:hAnsi="仿宋" w:eastAsia="仿宋" w:cs="仿宋"/>
          <w:color w:val="auto"/>
          <w:kern w:val="0"/>
          <w:sz w:val="32"/>
          <w:szCs w:val="32"/>
          <w:lang w:val="en-US" w:eastAsia="zh-CN"/>
        </w:rPr>
        <w:t>2</w:t>
      </w:r>
      <w:r>
        <w:rPr>
          <w:rFonts w:hint="default" w:ascii="仿宋" w:hAnsi="仿宋" w:eastAsia="仿宋" w:cs="仿宋"/>
          <w:color w:val="auto"/>
          <w:kern w:val="0"/>
          <w:sz w:val="32"/>
          <w:szCs w:val="32"/>
        </w:rPr>
        <w:t>年公车平台托管到本单位的公务用车0辆，“三公”经费预算5万元，其中：公务用车运行维护费0万元，公务接待费</w:t>
      </w:r>
      <w:r>
        <w:rPr>
          <w:rFonts w:hint="eastAsia" w:ascii="仿宋" w:hAnsi="仿宋" w:eastAsia="仿宋" w:cs="仿宋"/>
          <w:color w:val="auto"/>
          <w:kern w:val="0"/>
          <w:sz w:val="32"/>
          <w:szCs w:val="32"/>
          <w:lang w:val="en-US" w:eastAsia="zh-CN"/>
        </w:rPr>
        <w:t>5</w:t>
      </w:r>
      <w:r>
        <w:rPr>
          <w:rFonts w:hint="default" w:ascii="仿宋" w:hAnsi="仿宋" w:eastAsia="仿宋" w:cs="仿宋"/>
          <w:color w:val="auto"/>
          <w:kern w:val="0"/>
          <w:sz w:val="32"/>
          <w:szCs w:val="32"/>
        </w:rPr>
        <w:t>万元，其余没有预算支出；202</w:t>
      </w:r>
      <w:r>
        <w:rPr>
          <w:rFonts w:hint="eastAsia" w:ascii="仿宋" w:hAnsi="仿宋" w:eastAsia="仿宋" w:cs="仿宋"/>
          <w:color w:val="auto"/>
          <w:kern w:val="0"/>
          <w:sz w:val="32"/>
          <w:szCs w:val="32"/>
          <w:lang w:val="en-US" w:eastAsia="zh-CN"/>
        </w:rPr>
        <w:t>2</w:t>
      </w:r>
      <w:r>
        <w:rPr>
          <w:rFonts w:hint="default" w:ascii="仿宋" w:hAnsi="仿宋" w:eastAsia="仿宋" w:cs="仿宋"/>
          <w:color w:val="auto"/>
          <w:kern w:val="0"/>
          <w:sz w:val="32"/>
          <w:szCs w:val="32"/>
        </w:rPr>
        <w:t>年“三公”经费支出实际支出</w:t>
      </w:r>
      <w:r>
        <w:rPr>
          <w:rFonts w:hint="eastAsia" w:ascii="仿宋" w:hAnsi="仿宋" w:eastAsia="仿宋" w:cs="仿宋"/>
          <w:color w:val="auto"/>
          <w:kern w:val="0"/>
          <w:sz w:val="32"/>
          <w:szCs w:val="32"/>
          <w:lang w:val="en-US" w:eastAsia="zh-CN"/>
        </w:rPr>
        <w:t>2.65</w:t>
      </w:r>
      <w:r>
        <w:rPr>
          <w:rFonts w:hint="default" w:ascii="仿宋" w:hAnsi="仿宋" w:eastAsia="仿宋" w:cs="仿宋"/>
          <w:color w:val="auto"/>
          <w:kern w:val="0"/>
          <w:sz w:val="32"/>
          <w:szCs w:val="32"/>
        </w:rPr>
        <w:t>万元。</w:t>
      </w:r>
    </w:p>
    <w:p>
      <w:pPr>
        <w:keepNext w:val="0"/>
        <w:keepLines w:val="0"/>
        <w:pageBreakBefore w:val="0"/>
        <w:numPr>
          <w:ilvl w:val="0"/>
          <w:numId w:val="0"/>
        </w:numPr>
        <w:kinsoku/>
        <w:wordWrap/>
        <w:overflowPunct/>
        <w:topLinePunct w:val="0"/>
        <w:autoSpaceDE/>
        <w:autoSpaceDN/>
        <w:bidi w:val="0"/>
        <w:adjustRightInd/>
        <w:snapToGrid/>
        <w:spacing w:line="520" w:lineRule="exact"/>
        <w:ind w:firstLine="640" w:firstLineChars="200"/>
        <w:textAlignment w:val="auto"/>
        <w:rPr>
          <w:rFonts w:hint="default" w:ascii="仿宋" w:hAnsi="仿宋" w:eastAsia="仿宋" w:cs="仿宋"/>
          <w:color w:val="auto"/>
          <w:kern w:val="0"/>
          <w:sz w:val="32"/>
          <w:szCs w:val="32"/>
        </w:rPr>
      </w:pPr>
      <w:r>
        <w:rPr>
          <w:rFonts w:hint="default" w:ascii="仿宋" w:hAnsi="仿宋" w:eastAsia="仿宋" w:cs="仿宋"/>
          <w:color w:val="auto"/>
          <w:kern w:val="0"/>
          <w:sz w:val="32"/>
          <w:szCs w:val="32"/>
        </w:rPr>
        <w:t>截止202</w:t>
      </w:r>
      <w:r>
        <w:rPr>
          <w:rFonts w:hint="eastAsia" w:ascii="仿宋" w:hAnsi="仿宋" w:eastAsia="仿宋" w:cs="仿宋"/>
          <w:color w:val="auto"/>
          <w:kern w:val="0"/>
          <w:sz w:val="32"/>
          <w:szCs w:val="32"/>
          <w:lang w:val="en-US" w:eastAsia="zh-CN"/>
        </w:rPr>
        <w:t>2</w:t>
      </w:r>
      <w:r>
        <w:rPr>
          <w:rFonts w:hint="default" w:ascii="仿宋" w:hAnsi="仿宋" w:eastAsia="仿宋" w:cs="仿宋"/>
          <w:color w:val="auto"/>
          <w:kern w:val="0"/>
          <w:sz w:val="32"/>
          <w:szCs w:val="32"/>
        </w:rPr>
        <w:t>年12月31日，本单位固定资产年末原值186.22万元，均为在用的固定资产；本单位共有公车平台托管车辆0辆，其中，领导干部用车0辆，机要通信车0量、辆、应急保障用车0辆、其他用车0辆。单位价值50万元以上通用设备0台（套）；单位价值100万元</w:t>
      </w:r>
      <w:r>
        <w:rPr>
          <w:rFonts w:hint="eastAsia" w:ascii="仿宋" w:hAnsi="仿宋" w:eastAsia="仿宋" w:cs="仿宋"/>
          <w:color w:val="auto"/>
          <w:kern w:val="0"/>
          <w:sz w:val="32"/>
          <w:szCs w:val="32"/>
          <w:lang w:val="en-US" w:eastAsia="zh-CN"/>
        </w:rPr>
        <w:t>以</w:t>
      </w:r>
      <w:r>
        <w:rPr>
          <w:rFonts w:hint="default" w:ascii="仿宋" w:hAnsi="仿宋" w:eastAsia="仿宋" w:cs="仿宋"/>
          <w:color w:val="auto"/>
          <w:kern w:val="0"/>
          <w:sz w:val="32"/>
          <w:szCs w:val="32"/>
        </w:rPr>
        <w:t>上专用设备0台（套）。</w:t>
      </w:r>
    </w:p>
    <w:p>
      <w:pPr>
        <w:keepNext w:val="0"/>
        <w:keepLines w:val="0"/>
        <w:pageBreakBefore w:val="0"/>
        <w:numPr>
          <w:ilvl w:val="0"/>
          <w:numId w:val="0"/>
        </w:numPr>
        <w:kinsoku/>
        <w:wordWrap/>
        <w:overflowPunct/>
        <w:topLinePunct w:val="0"/>
        <w:autoSpaceDE/>
        <w:autoSpaceDN/>
        <w:bidi w:val="0"/>
        <w:adjustRightInd/>
        <w:snapToGrid/>
        <w:spacing w:line="520" w:lineRule="exact"/>
        <w:ind w:leftChars="200" w:firstLine="161" w:firstLineChars="50"/>
        <w:textAlignment w:val="auto"/>
        <w:rPr>
          <w:rFonts w:hint="eastAsia" w:ascii="楷体_GB2312" w:hAnsi="楷体_GB2312" w:eastAsia="楷体_GB2312" w:cs="楷体_GB2312"/>
          <w:b/>
          <w:bCs/>
          <w:color w:val="auto"/>
          <w:kern w:val="0"/>
          <w:sz w:val="32"/>
          <w:szCs w:val="32"/>
        </w:rPr>
      </w:pPr>
      <w:r>
        <w:rPr>
          <w:rFonts w:hint="eastAsia" w:ascii="楷体_GB2312" w:hAnsi="楷体_GB2312" w:eastAsia="楷体_GB2312" w:cs="楷体_GB2312"/>
          <w:b/>
          <w:bCs/>
          <w:color w:val="auto"/>
          <w:kern w:val="0"/>
          <w:sz w:val="32"/>
          <w:szCs w:val="32"/>
        </w:rPr>
        <w:t>（</w:t>
      </w:r>
      <w:r>
        <w:rPr>
          <w:rFonts w:hint="eastAsia" w:ascii="楷体_GB2312" w:hAnsi="楷体_GB2312" w:eastAsia="楷体_GB2312" w:cs="楷体_GB2312"/>
          <w:b/>
          <w:bCs/>
          <w:color w:val="auto"/>
          <w:kern w:val="0"/>
          <w:sz w:val="32"/>
          <w:szCs w:val="32"/>
          <w:lang w:val="en-US" w:eastAsia="zh-CN"/>
        </w:rPr>
        <w:t>3</w:t>
      </w:r>
      <w:r>
        <w:rPr>
          <w:rFonts w:hint="eastAsia" w:ascii="楷体_GB2312" w:hAnsi="楷体_GB2312" w:eastAsia="楷体_GB2312" w:cs="楷体_GB2312"/>
          <w:b/>
          <w:bCs/>
          <w:color w:val="auto"/>
          <w:kern w:val="0"/>
          <w:sz w:val="32"/>
          <w:szCs w:val="32"/>
        </w:rPr>
        <w:t>）财政财务管理制度及执行情况</w:t>
      </w:r>
    </w:p>
    <w:p>
      <w:pPr>
        <w:keepNext w:val="0"/>
        <w:keepLines w:val="0"/>
        <w:pageBreakBefore w:val="0"/>
        <w:numPr>
          <w:ilvl w:val="0"/>
          <w:numId w:val="0"/>
        </w:numPr>
        <w:kinsoku/>
        <w:wordWrap/>
        <w:overflowPunct/>
        <w:topLinePunct w:val="0"/>
        <w:autoSpaceDE/>
        <w:autoSpaceDN/>
        <w:bidi w:val="0"/>
        <w:adjustRightInd/>
        <w:snapToGrid/>
        <w:spacing w:line="520" w:lineRule="exact"/>
        <w:ind w:firstLine="480" w:firstLineChars="150"/>
        <w:textAlignment w:val="auto"/>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我单位根据上级要求，制定了《</w:t>
      </w:r>
      <w:r>
        <w:rPr>
          <w:rFonts w:hint="eastAsia" w:ascii="仿宋" w:hAnsi="仿宋" w:eastAsia="仿宋" w:cs="仿宋"/>
          <w:color w:val="000000"/>
          <w:kern w:val="0"/>
          <w:sz w:val="32"/>
          <w:szCs w:val="32"/>
          <w:lang w:val="en-US" w:eastAsia="zh-CN"/>
        </w:rPr>
        <w:t>应急管理局</w:t>
      </w:r>
      <w:r>
        <w:rPr>
          <w:rFonts w:hint="eastAsia" w:ascii="仿宋" w:hAnsi="仿宋" w:eastAsia="仿宋" w:cs="仿宋"/>
          <w:color w:val="000000"/>
          <w:kern w:val="0"/>
          <w:sz w:val="32"/>
          <w:szCs w:val="32"/>
        </w:rPr>
        <w:t>财务管理制度》、《</w:t>
      </w:r>
      <w:r>
        <w:rPr>
          <w:rFonts w:hint="eastAsia" w:ascii="仿宋" w:hAnsi="仿宋" w:eastAsia="仿宋" w:cs="仿宋"/>
          <w:color w:val="000000"/>
          <w:kern w:val="0"/>
          <w:sz w:val="32"/>
          <w:szCs w:val="32"/>
          <w:lang w:val="en-US" w:eastAsia="zh-CN"/>
        </w:rPr>
        <w:t>应急管理局</w:t>
      </w:r>
      <w:r>
        <w:rPr>
          <w:rFonts w:hint="eastAsia" w:ascii="仿宋" w:hAnsi="仿宋" w:eastAsia="仿宋" w:cs="仿宋"/>
          <w:color w:val="000000"/>
          <w:kern w:val="0"/>
          <w:sz w:val="32"/>
          <w:szCs w:val="32"/>
        </w:rPr>
        <w:t>内部控制制度汇编》、《</w:t>
      </w:r>
      <w:r>
        <w:rPr>
          <w:rFonts w:hint="eastAsia" w:ascii="仿宋" w:hAnsi="仿宋" w:eastAsia="仿宋" w:cs="仿宋"/>
          <w:color w:val="000000"/>
          <w:kern w:val="0"/>
          <w:sz w:val="32"/>
          <w:szCs w:val="32"/>
          <w:lang w:val="en-US" w:eastAsia="zh-CN"/>
        </w:rPr>
        <w:t>应急管理局</w:t>
      </w:r>
      <w:r>
        <w:rPr>
          <w:rFonts w:hint="eastAsia" w:ascii="仿宋" w:hAnsi="仿宋" w:eastAsia="仿宋" w:cs="仿宋"/>
          <w:color w:val="000000"/>
          <w:kern w:val="0"/>
          <w:sz w:val="32"/>
          <w:szCs w:val="32"/>
        </w:rPr>
        <w:t>内部控制手册》等财务管理制度并严格执行。</w:t>
      </w:r>
    </w:p>
    <w:p>
      <w:pPr>
        <w:keepNext w:val="0"/>
        <w:keepLines w:val="0"/>
        <w:pageBreakBefore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b/>
          <w:bCs/>
          <w:sz w:val="32"/>
          <w:szCs w:val="32"/>
          <w:lang w:eastAsia="zh-CN"/>
        </w:rPr>
      </w:pPr>
      <w:r>
        <w:rPr>
          <w:rFonts w:hint="eastAsia" w:ascii="黑体" w:hAnsi="黑体" w:eastAsia="黑体" w:cs="黑体"/>
          <w:b w:val="0"/>
          <w:bCs w:val="0"/>
          <w:sz w:val="32"/>
          <w:szCs w:val="32"/>
          <w:lang w:eastAsia="zh-CN"/>
        </w:rPr>
        <w:t>一、部门整体支出绩效情况</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000000"/>
          <w:kern w:val="0"/>
          <w:sz w:val="32"/>
          <w:szCs w:val="32"/>
          <w:lang w:eastAsia="zh-CN"/>
        </w:rPr>
      </w:pPr>
      <w:r>
        <w:rPr>
          <w:rFonts w:hint="eastAsia" w:ascii="仿宋" w:hAnsi="仿宋" w:eastAsia="仿宋" w:cs="仿宋"/>
          <w:color w:val="000000"/>
          <w:kern w:val="0"/>
          <w:sz w:val="32"/>
          <w:szCs w:val="32"/>
          <w:lang w:eastAsia="zh-CN"/>
        </w:rPr>
        <w:t>根据《部门整体支出绩效评价指标》评分表，自评得分9</w:t>
      </w:r>
      <w:r>
        <w:rPr>
          <w:rFonts w:hint="eastAsia" w:ascii="仿宋" w:hAnsi="仿宋" w:eastAsia="仿宋" w:cs="仿宋"/>
          <w:color w:val="000000"/>
          <w:kern w:val="0"/>
          <w:sz w:val="32"/>
          <w:szCs w:val="32"/>
          <w:lang w:val="en-US" w:eastAsia="zh-CN"/>
        </w:rPr>
        <w:t>5</w:t>
      </w:r>
      <w:r>
        <w:rPr>
          <w:rFonts w:hint="eastAsia" w:ascii="仿宋" w:hAnsi="仿宋" w:eastAsia="仿宋" w:cs="仿宋"/>
          <w:color w:val="000000"/>
          <w:kern w:val="0"/>
          <w:sz w:val="32"/>
          <w:szCs w:val="32"/>
          <w:lang w:eastAsia="zh-CN"/>
        </w:rPr>
        <w:t>分，整体支出绩效为“良好”。主要绩效如下：</w:t>
      </w:r>
      <w:r>
        <w:rPr>
          <w:rFonts w:hint="eastAsia" w:ascii="仿宋" w:hAnsi="仿宋" w:eastAsia="仿宋" w:cs="仿宋"/>
          <w:color w:val="000000"/>
          <w:kern w:val="0"/>
          <w:sz w:val="32"/>
          <w:szCs w:val="32"/>
          <w:lang w:val="en-US" w:eastAsia="zh-CN"/>
        </w:rPr>
        <w:t>2022</w:t>
      </w:r>
      <w:r>
        <w:rPr>
          <w:rFonts w:hint="eastAsia" w:ascii="仿宋" w:hAnsi="仿宋" w:eastAsia="仿宋" w:cs="仿宋"/>
          <w:color w:val="000000"/>
          <w:kern w:val="0"/>
          <w:sz w:val="32"/>
          <w:szCs w:val="32"/>
          <w:lang w:eastAsia="zh-CN"/>
        </w:rPr>
        <w:t>年，</w:t>
      </w:r>
      <w:r>
        <w:rPr>
          <w:rFonts w:hint="eastAsia" w:ascii="仿宋" w:hAnsi="仿宋" w:eastAsia="仿宋" w:cs="仿宋"/>
          <w:color w:val="000000"/>
          <w:kern w:val="0"/>
          <w:sz w:val="32"/>
          <w:szCs w:val="32"/>
          <w:lang w:val="en-US" w:eastAsia="zh-CN"/>
        </w:rPr>
        <w:t>我单位</w:t>
      </w:r>
      <w:r>
        <w:rPr>
          <w:rFonts w:hint="eastAsia" w:ascii="仿宋" w:hAnsi="仿宋" w:eastAsia="仿宋" w:cs="仿宋"/>
          <w:color w:val="000000"/>
          <w:kern w:val="0"/>
          <w:sz w:val="32"/>
          <w:szCs w:val="32"/>
          <w:lang w:eastAsia="zh-CN"/>
        </w:rPr>
        <w:t>坚持以习近平新时代中国特色社会主义思想为指导，在上级政府的坚强领导下，牢固“四个意识”，践行“两个维护”。全面贯彻落实党的</w:t>
      </w:r>
      <w:r>
        <w:rPr>
          <w:rFonts w:hint="eastAsia" w:ascii="仿宋" w:hAnsi="仿宋" w:eastAsia="仿宋" w:cs="仿宋"/>
          <w:color w:val="000000"/>
          <w:kern w:val="0"/>
          <w:sz w:val="32"/>
          <w:szCs w:val="32"/>
          <w:lang w:val="en-US" w:eastAsia="zh-CN"/>
        </w:rPr>
        <w:t>二十</w:t>
      </w:r>
      <w:r>
        <w:rPr>
          <w:rFonts w:hint="eastAsia" w:ascii="仿宋" w:hAnsi="仿宋" w:eastAsia="仿宋" w:cs="仿宋"/>
          <w:color w:val="000000"/>
          <w:kern w:val="0"/>
          <w:sz w:val="32"/>
          <w:szCs w:val="32"/>
          <w:lang w:eastAsia="zh-CN"/>
        </w:rPr>
        <w:t>大精神，坚持党的领导、人民当家作主、依法治国有机统一，在县委、县政府领导下，严格依法履职，积极主动作为，较好完成了县里交办的各项目标任务，各项工作取得新进展、新成效，为全</w:t>
      </w:r>
      <w:r>
        <w:rPr>
          <w:rFonts w:hint="eastAsia" w:ascii="仿宋" w:hAnsi="仿宋" w:eastAsia="仿宋" w:cs="仿宋"/>
          <w:color w:val="000000"/>
          <w:kern w:val="0"/>
          <w:sz w:val="32"/>
          <w:szCs w:val="32"/>
          <w:lang w:val="en-US" w:eastAsia="zh-CN"/>
        </w:rPr>
        <w:t>县</w:t>
      </w:r>
      <w:r>
        <w:rPr>
          <w:rFonts w:hint="eastAsia" w:ascii="仿宋" w:hAnsi="仿宋" w:eastAsia="仿宋" w:cs="仿宋"/>
          <w:color w:val="000000"/>
          <w:kern w:val="0"/>
          <w:sz w:val="32"/>
          <w:szCs w:val="32"/>
          <w:lang w:eastAsia="zh-CN"/>
        </w:rPr>
        <w:t>经济健康发展和社会稳定提供了坚实的</w:t>
      </w:r>
      <w:r>
        <w:rPr>
          <w:rFonts w:hint="eastAsia" w:ascii="仿宋" w:hAnsi="仿宋" w:eastAsia="仿宋" w:cs="仿宋"/>
          <w:color w:val="000000"/>
          <w:kern w:val="0"/>
          <w:sz w:val="32"/>
          <w:szCs w:val="32"/>
          <w:lang w:val="en-US" w:eastAsia="zh-CN"/>
        </w:rPr>
        <w:t>安全保障</w:t>
      </w:r>
      <w:r>
        <w:rPr>
          <w:rFonts w:hint="eastAsia" w:ascii="仿宋" w:hAnsi="仿宋" w:eastAsia="仿宋" w:cs="仿宋"/>
          <w:color w:val="000000"/>
          <w:kern w:val="0"/>
          <w:sz w:val="32"/>
          <w:szCs w:val="32"/>
          <w:lang w:eastAsia="zh-CN"/>
        </w:rPr>
        <w:t>。</w:t>
      </w:r>
    </w:p>
    <w:p>
      <w:pPr>
        <w:keepNext w:val="0"/>
        <w:keepLines w:val="0"/>
        <w:pageBreakBefore w:val="0"/>
        <w:numPr>
          <w:ilvl w:val="0"/>
          <w:numId w:val="1"/>
        </w:numPr>
        <w:kinsoku/>
        <w:wordWrap/>
        <w:overflowPunct/>
        <w:topLinePunct w:val="0"/>
        <w:autoSpaceDE/>
        <w:autoSpaceDN/>
        <w:bidi w:val="0"/>
        <w:adjustRightInd/>
        <w:snapToGrid/>
        <w:spacing w:line="520" w:lineRule="exact"/>
        <w:ind w:left="-10" w:leftChars="0" w:firstLine="640" w:firstLineChars="0"/>
        <w:textAlignment w:val="auto"/>
        <w:rPr>
          <w:rFonts w:hint="eastAsia" w:ascii="楷体_GB2312" w:hAnsi="楷体_GB2312" w:eastAsia="楷体_GB2312" w:cs="楷体_GB2312"/>
          <w:b/>
          <w:bCs/>
          <w:color w:val="000000"/>
          <w:kern w:val="0"/>
          <w:sz w:val="32"/>
          <w:szCs w:val="32"/>
          <w:lang w:eastAsia="zh-CN"/>
        </w:rPr>
      </w:pPr>
      <w:r>
        <w:rPr>
          <w:rFonts w:hint="eastAsia" w:ascii="楷体_GB2312" w:hAnsi="楷体_GB2312" w:eastAsia="楷体_GB2312" w:cs="楷体_GB2312"/>
          <w:b/>
          <w:bCs/>
          <w:color w:val="000000"/>
          <w:kern w:val="0"/>
          <w:sz w:val="32"/>
          <w:szCs w:val="32"/>
          <w:lang w:eastAsia="zh-CN"/>
        </w:rPr>
        <w:t>应急保障体系建设</w:t>
      </w:r>
    </w:p>
    <w:p>
      <w:pPr>
        <w:keepNext w:val="0"/>
        <w:keepLines w:val="0"/>
        <w:pageBreakBefore w:val="0"/>
        <w:numPr>
          <w:ilvl w:val="0"/>
          <w:numId w:val="0"/>
        </w:numPr>
        <w:kinsoku/>
        <w:wordWrap/>
        <w:overflowPunct/>
        <w:topLinePunct w:val="0"/>
        <w:autoSpaceDE/>
        <w:autoSpaceDN/>
        <w:bidi w:val="0"/>
        <w:adjustRightInd/>
        <w:snapToGrid/>
        <w:spacing w:line="520" w:lineRule="exact"/>
        <w:ind w:firstLine="640"/>
        <w:textAlignment w:val="auto"/>
        <w:rPr>
          <w:rFonts w:hint="default" w:ascii="仿宋" w:hAnsi="仿宋" w:eastAsia="仿宋" w:cs="仿宋"/>
          <w:color w:val="000000"/>
          <w:kern w:val="0"/>
          <w:sz w:val="32"/>
          <w:szCs w:val="32"/>
          <w:lang w:eastAsia="zh-CN"/>
        </w:rPr>
      </w:pPr>
      <w:r>
        <w:rPr>
          <w:rFonts w:hint="default" w:ascii="仿宋" w:hAnsi="仿宋" w:eastAsia="仿宋" w:cs="仿宋"/>
          <w:color w:val="000000"/>
          <w:kern w:val="0"/>
          <w:sz w:val="32"/>
          <w:szCs w:val="32"/>
          <w:lang w:eastAsia="zh-CN"/>
        </w:rPr>
        <w:t>各级县镇应急办人员已全部到岗，乡镇换届后第一时间明确应急管理相关负责人，全员到位并正常开展工作。应急能力建设专项预算资金已纳入各乡镇的全年专项经费列支。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000000"/>
          <w:kern w:val="0"/>
          <w:sz w:val="32"/>
          <w:szCs w:val="32"/>
        </w:rPr>
      </w:pPr>
      <w:r>
        <w:rPr>
          <w:rFonts w:hint="default" w:ascii="仿宋" w:hAnsi="仿宋" w:eastAsia="仿宋" w:cs="仿宋"/>
          <w:color w:val="000000"/>
          <w:kern w:val="0"/>
          <w:sz w:val="32"/>
          <w:szCs w:val="32"/>
          <w:lang w:eastAsia="zh-CN"/>
        </w:rPr>
        <w:t>结合实际工作，认真梳理，明确了乡镇应急工作台账及档册管理内容，加强了基础资料，基础数据、基本制度建设。加强各乡镇个社区应急人员的培训，及时收集意见，宣传相</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rPr>
          <w:rFonts w:hint="default" w:ascii="仿宋" w:hAnsi="仿宋" w:eastAsia="仿宋" w:cs="仿宋"/>
          <w:color w:val="000000"/>
          <w:kern w:val="0"/>
          <w:sz w:val="32"/>
          <w:szCs w:val="32"/>
          <w:lang w:eastAsia="zh-CN"/>
        </w:rPr>
      </w:pPr>
      <w:r>
        <w:rPr>
          <w:rFonts w:hint="default" w:ascii="仿宋" w:hAnsi="仿宋" w:eastAsia="仿宋" w:cs="仿宋"/>
          <w:color w:val="000000"/>
          <w:kern w:val="0"/>
          <w:sz w:val="32"/>
          <w:szCs w:val="32"/>
          <w:lang w:eastAsia="zh-CN"/>
        </w:rPr>
        <w:t>关救灾防灾政策，解答工作中存在的问题，全面形成自上而下，联动推进工作格局。</w:t>
      </w:r>
    </w:p>
    <w:p>
      <w:pPr>
        <w:keepNext w:val="0"/>
        <w:keepLines w:val="0"/>
        <w:pageBreakBefore w:val="0"/>
        <w:numPr>
          <w:ilvl w:val="0"/>
          <w:numId w:val="1"/>
        </w:numPr>
        <w:kinsoku/>
        <w:wordWrap/>
        <w:overflowPunct/>
        <w:topLinePunct w:val="0"/>
        <w:autoSpaceDE/>
        <w:autoSpaceDN/>
        <w:bidi w:val="0"/>
        <w:adjustRightInd/>
        <w:snapToGrid/>
        <w:spacing w:line="520" w:lineRule="exact"/>
        <w:ind w:left="-10" w:leftChars="0" w:firstLine="640" w:firstLineChars="0"/>
        <w:textAlignment w:val="auto"/>
        <w:rPr>
          <w:rFonts w:hint="eastAsia" w:ascii="楷体_GB2312" w:hAnsi="楷体_GB2312" w:eastAsia="楷体_GB2312" w:cs="楷体_GB2312"/>
          <w:b/>
          <w:bCs/>
          <w:color w:val="000000"/>
          <w:kern w:val="0"/>
          <w:sz w:val="32"/>
          <w:szCs w:val="32"/>
          <w:lang w:eastAsia="zh-CN"/>
        </w:rPr>
      </w:pPr>
      <w:r>
        <w:rPr>
          <w:rFonts w:hint="eastAsia" w:ascii="楷体_GB2312" w:hAnsi="楷体_GB2312" w:eastAsia="楷体_GB2312" w:cs="楷体_GB2312"/>
          <w:b/>
          <w:bCs/>
          <w:color w:val="000000"/>
          <w:kern w:val="0"/>
          <w:sz w:val="32"/>
          <w:szCs w:val="32"/>
          <w:lang w:eastAsia="zh-CN"/>
        </w:rPr>
        <w:t>扎实最好安全生产及救灾防灾工作</w:t>
      </w:r>
    </w:p>
    <w:p>
      <w:pPr>
        <w:keepNext w:val="0"/>
        <w:keepLines w:val="0"/>
        <w:pageBreakBefore w:val="0"/>
        <w:numPr>
          <w:ilvl w:val="0"/>
          <w:numId w:val="2"/>
        </w:numPr>
        <w:kinsoku/>
        <w:wordWrap/>
        <w:overflowPunct/>
        <w:topLinePunct w:val="0"/>
        <w:autoSpaceDE/>
        <w:autoSpaceDN/>
        <w:bidi w:val="0"/>
        <w:adjustRightInd/>
        <w:snapToGrid/>
        <w:spacing w:line="520" w:lineRule="exact"/>
        <w:ind w:left="800" w:leftChars="0"/>
        <w:textAlignment w:val="auto"/>
        <w:rPr>
          <w:rFonts w:hint="default" w:ascii="仿宋" w:hAnsi="仿宋" w:eastAsia="仿宋" w:cs="仿宋"/>
          <w:color w:val="000000"/>
          <w:kern w:val="0"/>
          <w:sz w:val="32"/>
          <w:szCs w:val="32"/>
          <w:lang w:eastAsia="zh-CN"/>
        </w:rPr>
      </w:pPr>
      <w:r>
        <w:rPr>
          <w:rFonts w:hint="default" w:ascii="仿宋" w:hAnsi="仿宋" w:eastAsia="仿宋" w:cs="仿宋"/>
          <w:b/>
          <w:bCs/>
          <w:color w:val="000000"/>
          <w:kern w:val="0"/>
          <w:sz w:val="32"/>
          <w:szCs w:val="32"/>
          <w:lang w:eastAsia="zh-CN"/>
        </w:rPr>
        <w:t>安全生产监督检查及指导工作</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rPr>
          <w:rFonts w:hint="default" w:ascii="仿宋" w:hAnsi="仿宋" w:eastAsia="仿宋" w:cs="仿宋"/>
          <w:color w:val="000000"/>
          <w:kern w:val="0"/>
          <w:sz w:val="32"/>
          <w:szCs w:val="32"/>
          <w:lang w:eastAsia="zh-CN"/>
        </w:rPr>
      </w:pPr>
      <w:r>
        <w:rPr>
          <w:rFonts w:hint="default" w:ascii="仿宋" w:hAnsi="仿宋" w:eastAsia="仿宋" w:cs="仿宋"/>
          <w:color w:val="000000"/>
          <w:kern w:val="0"/>
          <w:sz w:val="32"/>
          <w:szCs w:val="32"/>
          <w:lang w:eastAsia="zh-CN"/>
        </w:rPr>
        <w:t xml:space="preserve">     一是各股室牵头，按行业类别，不定期对各生产进行安全生产检查。202</w:t>
      </w:r>
      <w:r>
        <w:rPr>
          <w:rFonts w:hint="eastAsia" w:ascii="仿宋" w:hAnsi="仿宋" w:eastAsia="仿宋" w:cs="仿宋"/>
          <w:color w:val="000000"/>
          <w:kern w:val="0"/>
          <w:sz w:val="32"/>
          <w:szCs w:val="32"/>
          <w:lang w:val="en-US" w:eastAsia="zh-CN"/>
        </w:rPr>
        <w:t>2</w:t>
      </w:r>
      <w:r>
        <w:rPr>
          <w:rFonts w:hint="default" w:ascii="仿宋" w:hAnsi="仿宋" w:eastAsia="仿宋" w:cs="仿宋"/>
          <w:color w:val="000000"/>
          <w:kern w:val="0"/>
          <w:sz w:val="32"/>
          <w:szCs w:val="32"/>
          <w:lang w:eastAsia="zh-CN"/>
        </w:rPr>
        <w:t>年度，我单位组织安全生产专项检查共5次，对问题企业，责令整改，202</w:t>
      </w:r>
      <w:r>
        <w:rPr>
          <w:rFonts w:hint="eastAsia" w:ascii="仿宋" w:hAnsi="仿宋" w:eastAsia="仿宋" w:cs="仿宋"/>
          <w:color w:val="000000"/>
          <w:kern w:val="0"/>
          <w:sz w:val="32"/>
          <w:szCs w:val="32"/>
          <w:lang w:val="en-US" w:eastAsia="zh-CN"/>
        </w:rPr>
        <w:t>2</w:t>
      </w:r>
      <w:r>
        <w:rPr>
          <w:rFonts w:hint="default" w:ascii="仿宋" w:hAnsi="仿宋" w:eastAsia="仿宋" w:cs="仿宋"/>
          <w:color w:val="000000"/>
          <w:kern w:val="0"/>
          <w:sz w:val="32"/>
          <w:szCs w:val="32"/>
          <w:lang w:eastAsia="zh-CN"/>
        </w:rPr>
        <w:t>年我县安全事故发生率0%。二是实行安全生产举报奖励制度，对于举报安全生产隐患问题，成立小组经行严格调查，确有安全隐患的问题的，责令整改，对举报人员实行奖励机制，鼓励群众监督。202</w:t>
      </w:r>
      <w:r>
        <w:rPr>
          <w:rFonts w:hint="eastAsia" w:ascii="仿宋" w:hAnsi="仿宋" w:eastAsia="仿宋" w:cs="仿宋"/>
          <w:color w:val="000000"/>
          <w:kern w:val="0"/>
          <w:sz w:val="32"/>
          <w:szCs w:val="32"/>
          <w:lang w:val="en-US" w:eastAsia="zh-CN"/>
        </w:rPr>
        <w:t>2</w:t>
      </w:r>
      <w:r>
        <w:rPr>
          <w:rFonts w:hint="default" w:ascii="仿宋" w:hAnsi="仿宋" w:eastAsia="仿宋" w:cs="仿宋"/>
          <w:color w:val="000000"/>
          <w:kern w:val="0"/>
          <w:sz w:val="32"/>
          <w:szCs w:val="32"/>
          <w:lang w:eastAsia="zh-CN"/>
        </w:rPr>
        <w:t>年，我单位通过群众举报，整改安全生产隐患问题企业共3家。三是开展各行业安全生产专项培训会</w:t>
      </w:r>
      <w:r>
        <w:rPr>
          <w:rFonts w:hint="eastAsia" w:ascii="仿宋" w:hAnsi="仿宋" w:eastAsia="仿宋" w:cs="仿宋"/>
          <w:color w:val="000000"/>
          <w:kern w:val="0"/>
          <w:sz w:val="32"/>
          <w:szCs w:val="32"/>
          <w:lang w:val="en-US" w:eastAsia="zh-CN"/>
        </w:rPr>
        <w:t>8</w:t>
      </w:r>
      <w:r>
        <w:rPr>
          <w:rFonts w:hint="default" w:ascii="仿宋" w:hAnsi="仿宋" w:eastAsia="仿宋" w:cs="仿宋"/>
          <w:color w:val="000000"/>
          <w:kern w:val="0"/>
          <w:sz w:val="32"/>
          <w:szCs w:val="32"/>
          <w:lang w:eastAsia="zh-CN"/>
        </w:rPr>
        <w:t>次，定期组织当地企业安全员培训，加强安生生产的预防意识。</w:t>
      </w:r>
    </w:p>
    <w:p>
      <w:pPr>
        <w:keepNext w:val="0"/>
        <w:keepLines w:val="0"/>
        <w:pageBreakBefore w:val="0"/>
        <w:numPr>
          <w:ilvl w:val="0"/>
          <w:numId w:val="2"/>
        </w:numPr>
        <w:kinsoku/>
        <w:wordWrap/>
        <w:overflowPunct/>
        <w:topLinePunct w:val="0"/>
        <w:autoSpaceDE/>
        <w:autoSpaceDN/>
        <w:bidi w:val="0"/>
        <w:adjustRightInd/>
        <w:snapToGrid/>
        <w:spacing w:line="520" w:lineRule="exact"/>
        <w:ind w:left="800" w:leftChars="0" w:firstLine="0" w:firstLineChars="0"/>
        <w:textAlignment w:val="auto"/>
        <w:rPr>
          <w:rFonts w:hint="default" w:ascii="仿宋" w:hAnsi="仿宋" w:eastAsia="仿宋" w:cs="仿宋"/>
          <w:color w:val="000000"/>
          <w:kern w:val="0"/>
          <w:sz w:val="32"/>
          <w:szCs w:val="32"/>
          <w:lang w:eastAsia="zh-CN"/>
        </w:rPr>
      </w:pPr>
      <w:r>
        <w:rPr>
          <w:rFonts w:hint="default" w:ascii="仿宋" w:hAnsi="仿宋" w:eastAsia="仿宋" w:cs="仿宋"/>
          <w:b/>
          <w:bCs/>
          <w:color w:val="000000"/>
          <w:kern w:val="0"/>
          <w:sz w:val="32"/>
          <w:szCs w:val="32"/>
          <w:lang w:eastAsia="zh-CN"/>
        </w:rPr>
        <w:t>救灾防灾提高综合提高各级政府减灾能力</w:t>
      </w:r>
    </w:p>
    <w:p>
      <w:pPr>
        <w:keepNext w:val="0"/>
        <w:keepLines w:val="0"/>
        <w:pageBreakBefore w:val="0"/>
        <w:numPr>
          <w:ilvl w:val="0"/>
          <w:numId w:val="0"/>
        </w:numPr>
        <w:kinsoku/>
        <w:wordWrap/>
        <w:overflowPunct/>
        <w:topLinePunct w:val="0"/>
        <w:autoSpaceDE/>
        <w:autoSpaceDN/>
        <w:bidi w:val="0"/>
        <w:adjustRightInd/>
        <w:snapToGrid/>
        <w:spacing w:line="520" w:lineRule="exact"/>
        <w:ind w:firstLine="640"/>
        <w:textAlignment w:val="auto"/>
        <w:rPr>
          <w:rFonts w:hint="default" w:ascii="仿宋" w:hAnsi="仿宋" w:eastAsia="仿宋" w:cs="仿宋"/>
          <w:color w:val="000000"/>
          <w:kern w:val="0"/>
          <w:sz w:val="32"/>
          <w:szCs w:val="32"/>
          <w:lang w:eastAsia="zh-CN"/>
        </w:rPr>
      </w:pPr>
      <w:r>
        <w:rPr>
          <w:rFonts w:hint="default" w:ascii="仿宋" w:hAnsi="仿宋" w:eastAsia="仿宋" w:cs="仿宋"/>
          <w:color w:val="000000"/>
          <w:kern w:val="0"/>
          <w:sz w:val="32"/>
          <w:szCs w:val="32"/>
          <w:lang w:eastAsia="zh-CN"/>
        </w:rPr>
        <w:t>202</w:t>
      </w:r>
      <w:r>
        <w:rPr>
          <w:rFonts w:hint="eastAsia" w:ascii="仿宋" w:hAnsi="仿宋" w:eastAsia="仿宋" w:cs="仿宋"/>
          <w:color w:val="000000"/>
          <w:kern w:val="0"/>
          <w:sz w:val="32"/>
          <w:szCs w:val="32"/>
          <w:lang w:val="en-US" w:eastAsia="zh-CN"/>
        </w:rPr>
        <w:t>2</w:t>
      </w:r>
      <w:r>
        <w:rPr>
          <w:rFonts w:hint="default" w:ascii="仿宋" w:hAnsi="仿宋" w:eastAsia="仿宋" w:cs="仿宋"/>
          <w:color w:val="000000"/>
          <w:kern w:val="0"/>
          <w:sz w:val="32"/>
          <w:szCs w:val="32"/>
          <w:lang w:eastAsia="zh-CN"/>
        </w:rPr>
        <w:t>年，我单位共发起森林防火专项宣传活动共2次，通过手机推送及上门宣传等方式相结合，加强群众的森林防火意识。我单位举办防汛演练1次，参加救援演练人员85人，包括消防队、武装部、民间救护队及自愿者，一定程度上提高我县在汛期的救灾能力，通过气象监测平台及水文平台数据，做好全县汛期的实时监测，发布汛期推送信息共2万条以上，并在全年执行24小时值班值守制度，全天进行动态监测。</w:t>
      </w:r>
    </w:p>
    <w:p>
      <w:pPr>
        <w:ind w:firstLine="640" w:firstLineChars="200"/>
        <w:rPr>
          <w:rFonts w:hint="default" w:ascii="仿宋" w:hAnsi="仿宋" w:eastAsia="仿宋" w:cs="仿宋"/>
          <w:color w:val="000000"/>
          <w:kern w:val="0"/>
          <w:sz w:val="32"/>
          <w:szCs w:val="32"/>
          <w:lang w:eastAsia="zh-CN"/>
        </w:rPr>
      </w:pPr>
      <w:r>
        <w:rPr>
          <w:rFonts w:hint="default" w:ascii="仿宋" w:hAnsi="仿宋" w:eastAsia="仿宋" w:cs="仿宋"/>
          <w:color w:val="000000"/>
          <w:kern w:val="0"/>
          <w:sz w:val="32"/>
          <w:szCs w:val="32"/>
          <w:lang w:eastAsia="zh-CN"/>
        </w:rPr>
        <w:t>202</w:t>
      </w:r>
      <w:r>
        <w:rPr>
          <w:rFonts w:hint="eastAsia" w:ascii="仿宋" w:hAnsi="仿宋" w:eastAsia="仿宋" w:cs="仿宋"/>
          <w:color w:val="000000"/>
          <w:kern w:val="0"/>
          <w:sz w:val="32"/>
          <w:szCs w:val="32"/>
          <w:lang w:val="en-US" w:eastAsia="zh-CN"/>
        </w:rPr>
        <w:t>2</w:t>
      </w:r>
      <w:r>
        <w:rPr>
          <w:rFonts w:hint="default" w:ascii="仿宋" w:hAnsi="仿宋" w:eastAsia="仿宋" w:cs="仿宋"/>
          <w:color w:val="000000"/>
          <w:kern w:val="0"/>
          <w:sz w:val="32"/>
          <w:szCs w:val="32"/>
          <w:lang w:eastAsia="zh-CN"/>
        </w:rPr>
        <w:t>年，共上报因灾房屋倒塌5户，冬春受灾群众</w:t>
      </w:r>
      <w:r>
        <w:rPr>
          <w:rFonts w:hint="eastAsia" w:ascii="仿宋" w:hAnsi="仿宋" w:eastAsia="仿宋" w:cs="仿宋"/>
          <w:color w:val="000000"/>
          <w:kern w:val="0"/>
          <w:sz w:val="32"/>
          <w:szCs w:val="32"/>
          <w:lang w:val="en-US" w:eastAsia="zh-CN"/>
        </w:rPr>
        <w:t>194</w:t>
      </w:r>
      <w:r>
        <w:rPr>
          <w:rFonts w:hint="default" w:ascii="仿宋" w:hAnsi="仿宋" w:eastAsia="仿宋" w:cs="仿宋"/>
          <w:color w:val="000000"/>
          <w:kern w:val="0"/>
          <w:sz w:val="32"/>
          <w:szCs w:val="32"/>
          <w:lang w:eastAsia="zh-CN"/>
        </w:rPr>
        <w:t>余户，保障了受灾群众的住房及基本生活物资保障。</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b w:val="0"/>
          <w:bCs w:val="0"/>
          <w:sz w:val="32"/>
          <w:szCs w:val="32"/>
          <w:lang w:eastAsia="zh-CN"/>
        </w:rPr>
      </w:pPr>
      <w:r>
        <w:rPr>
          <w:rFonts w:hint="eastAsia" w:ascii="黑体" w:hAnsi="黑体" w:eastAsia="黑体" w:cs="黑体"/>
          <w:b w:val="0"/>
          <w:bCs w:val="0"/>
          <w:sz w:val="32"/>
          <w:szCs w:val="32"/>
          <w:lang w:val="en-US" w:eastAsia="zh-CN"/>
        </w:rPr>
        <w:t>二、</w:t>
      </w:r>
      <w:r>
        <w:rPr>
          <w:rFonts w:hint="eastAsia" w:ascii="黑体" w:hAnsi="黑体" w:eastAsia="黑体" w:cs="黑体"/>
          <w:b w:val="0"/>
          <w:bCs w:val="0"/>
          <w:sz w:val="32"/>
          <w:szCs w:val="32"/>
          <w:lang w:eastAsia="zh-CN"/>
        </w:rPr>
        <w:t>存在的问题及原因</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我单位财政资金紧张，资金缺口过大，特别是部门公用经费尤其紧张。公用经费实行定额标准管理，预算标准与实际执行脱节，在很大程度上影响了资金的使用效率。各种矛盾凸显，导致我单位基本保障面临巨大的压力。</w:t>
      </w:r>
    </w:p>
    <w:p>
      <w:pPr>
        <w:keepNext w:val="0"/>
        <w:keepLines w:val="0"/>
        <w:pageBreakBefore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b/>
          <w:bCs/>
          <w:sz w:val="32"/>
          <w:szCs w:val="32"/>
          <w:lang w:val="en-US" w:eastAsia="zh-CN"/>
        </w:rPr>
      </w:pPr>
      <w:r>
        <w:rPr>
          <w:rFonts w:hint="eastAsia" w:ascii="黑体" w:hAnsi="黑体" w:eastAsia="黑体" w:cs="黑体"/>
          <w:b w:val="0"/>
          <w:bCs w:val="0"/>
          <w:sz w:val="32"/>
          <w:szCs w:val="32"/>
          <w:lang w:val="en-US" w:eastAsia="zh-CN"/>
        </w:rPr>
        <w:t>三、提高财政资金绩效的措施与建议</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3" w:firstLineChars="200"/>
        <w:jc w:val="both"/>
        <w:textAlignment w:val="auto"/>
        <w:rPr>
          <w:rFonts w:hint="eastAsia" w:ascii="楷体_GB2312" w:hAnsi="楷体_GB2312" w:eastAsia="楷体_GB2312" w:cs="楷体_GB2312"/>
          <w:b/>
          <w:bCs/>
          <w:color w:val="000000"/>
          <w:kern w:val="0"/>
          <w:sz w:val="32"/>
          <w:szCs w:val="32"/>
          <w:lang w:val="en-US" w:eastAsia="zh-CN"/>
        </w:rPr>
      </w:pPr>
      <w:r>
        <w:rPr>
          <w:rFonts w:hint="eastAsia" w:ascii="楷体_GB2312" w:hAnsi="楷体_GB2312" w:eastAsia="楷体_GB2312" w:cs="楷体_GB2312"/>
          <w:b/>
          <w:bCs/>
          <w:color w:val="000000"/>
          <w:kern w:val="0"/>
          <w:sz w:val="32"/>
          <w:szCs w:val="32"/>
          <w:lang w:val="en-US" w:eastAsia="zh-CN"/>
        </w:rPr>
        <w:t>1.科学合理编制预算，严格执行预算</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both"/>
        <w:textAlignment w:val="auto"/>
        <w:rPr>
          <w:rFonts w:hint="default" w:ascii="仿宋" w:hAnsi="仿宋" w:eastAsia="仿宋" w:cs="仿宋"/>
          <w:color w:val="000000"/>
          <w:kern w:val="0"/>
          <w:sz w:val="32"/>
          <w:szCs w:val="32"/>
          <w:lang w:eastAsia="zh-CN"/>
        </w:rPr>
      </w:pPr>
      <w:r>
        <w:rPr>
          <w:rFonts w:hint="eastAsia" w:ascii="仿宋" w:hAnsi="仿宋" w:eastAsia="仿宋" w:cs="仿宋"/>
          <w:color w:val="000000"/>
          <w:kern w:val="0"/>
          <w:sz w:val="32"/>
          <w:szCs w:val="32"/>
          <w:lang w:val="en-US" w:eastAsia="zh-CN"/>
        </w:rPr>
        <w:t>　　加强预算编制的前瞻性，按照新《预算法》及其实施条例的相关规定，按政策规定及本部门的发展规划，结合上一年度预算执行情况和本年度预算收支变化，科学、合理地编制本年预算草案，避免项目支出与基本支出划分不准或预算支出与实际执行出现较大偏差的情况，执行中确需调剂预算的，按规定程序报经批准。</w:t>
      </w:r>
      <w:r>
        <w:rPr>
          <w:rFonts w:hint="default" w:ascii="仿宋" w:hAnsi="仿宋" w:eastAsia="仿宋" w:cs="仿宋"/>
          <w:color w:val="000000"/>
          <w:kern w:val="0"/>
          <w:sz w:val="32"/>
          <w:szCs w:val="32"/>
          <w:lang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3" w:firstLineChars="200"/>
        <w:jc w:val="both"/>
        <w:textAlignment w:val="auto"/>
        <w:rPr>
          <w:rFonts w:hint="eastAsia" w:ascii="楷体_GB2312" w:hAnsi="楷体_GB2312" w:eastAsia="楷体_GB2312" w:cs="楷体_GB2312"/>
          <w:b/>
          <w:bCs/>
          <w:color w:val="000000"/>
          <w:kern w:val="0"/>
          <w:sz w:val="32"/>
          <w:szCs w:val="32"/>
          <w:lang w:val="en-US" w:eastAsia="zh-CN"/>
        </w:rPr>
      </w:pPr>
      <w:r>
        <w:rPr>
          <w:rFonts w:hint="eastAsia" w:ascii="楷体_GB2312" w:hAnsi="楷体_GB2312" w:eastAsia="楷体_GB2312" w:cs="楷体_GB2312"/>
          <w:b/>
          <w:bCs/>
          <w:color w:val="000000"/>
          <w:kern w:val="0"/>
          <w:sz w:val="32"/>
          <w:szCs w:val="32"/>
          <w:lang w:val="en-US" w:eastAsia="zh-CN"/>
        </w:rPr>
        <w:t>2.完善管理制度，进一步加强资产管理</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jc w:val="both"/>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进一步贯彻落实中央“八项规定”和湖南省委“九条规定”，建立本部门“三公经费”等公务支出管理制度及厉行节约制度，加强经费审批和控制，规范支出标准与范围，并严格执行。严格按照《固定资产管理办法》的规定加强固定资产管理，及时登记、更新台账，加强资产卡片管理，年终前对各类实物资产进行全面盘点，确保账账、账实相符。</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3" w:firstLineChars="200"/>
        <w:jc w:val="both"/>
        <w:textAlignment w:val="auto"/>
        <w:rPr>
          <w:rFonts w:hint="eastAsia" w:ascii="黑体" w:hAnsi="黑体" w:eastAsia="黑体" w:cs="黑体"/>
          <w:color w:val="000000"/>
          <w:kern w:val="0"/>
          <w:sz w:val="32"/>
          <w:szCs w:val="32"/>
          <w:lang w:val="en-US" w:eastAsia="zh-CN"/>
        </w:rPr>
      </w:pPr>
      <w:r>
        <w:rPr>
          <w:rFonts w:hint="eastAsia" w:ascii="楷体_GB2312" w:hAnsi="楷体_GB2312" w:eastAsia="楷体_GB2312" w:cs="楷体_GB2312"/>
          <w:b/>
          <w:bCs/>
          <w:color w:val="000000"/>
          <w:kern w:val="0"/>
          <w:sz w:val="32"/>
          <w:szCs w:val="32"/>
          <w:lang w:val="en-US" w:eastAsia="zh-CN"/>
        </w:rPr>
        <w:t>3.加强法制教育，严肃财经法规</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强化法律意识，高度重视财务管理工作，进一步提高有关工作人员的专业知识水平和业务工作能力，不断完善内部控制，努力提高财务管理水平，规范预算执行</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3" w:firstLineChars="200"/>
        <w:jc w:val="both"/>
        <w:textAlignment w:val="auto"/>
        <w:rPr>
          <w:rFonts w:hint="eastAsia" w:ascii="黑体" w:hAnsi="黑体" w:eastAsia="黑体" w:cs="黑体"/>
          <w:color w:val="000000"/>
          <w:kern w:val="0"/>
          <w:sz w:val="32"/>
          <w:szCs w:val="32"/>
          <w:lang w:val="en-US" w:eastAsia="zh-CN"/>
        </w:rPr>
      </w:pPr>
      <w:r>
        <w:rPr>
          <w:rFonts w:hint="eastAsia" w:ascii="楷体_GB2312" w:hAnsi="楷体_GB2312" w:eastAsia="楷体_GB2312" w:cs="楷体_GB2312"/>
          <w:b/>
          <w:bCs/>
          <w:color w:val="000000"/>
          <w:kern w:val="0"/>
          <w:sz w:val="32"/>
          <w:szCs w:val="32"/>
          <w:lang w:val="en-US" w:eastAsia="zh-CN"/>
        </w:rPr>
        <w:t>4.不断提高财政资金的使用效益</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积极探索、建立财政预算的绩效评价体系和考核制度，加强预算执行分析，强化决算管理。建立预算执行追踪问效制度，有效控制公用经费的支出，提高预算资金的使用效益。</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3" w:firstLineChars="200"/>
        <w:jc w:val="both"/>
        <w:textAlignment w:val="auto"/>
        <w:rPr>
          <w:rFonts w:hint="eastAsia" w:ascii="黑体" w:hAnsi="黑体" w:eastAsia="黑体" w:cs="黑体"/>
          <w:color w:val="000000"/>
          <w:kern w:val="0"/>
          <w:sz w:val="32"/>
          <w:szCs w:val="32"/>
          <w:lang w:val="en-US" w:eastAsia="zh-CN"/>
        </w:rPr>
      </w:pPr>
      <w:r>
        <w:rPr>
          <w:rFonts w:hint="eastAsia" w:ascii="楷体_GB2312" w:hAnsi="楷体_GB2312" w:eastAsia="楷体_GB2312" w:cs="楷体_GB2312"/>
          <w:b/>
          <w:bCs/>
          <w:color w:val="000000"/>
          <w:kern w:val="0"/>
          <w:sz w:val="32"/>
          <w:szCs w:val="32"/>
          <w:lang w:val="en-US" w:eastAsia="zh-CN"/>
        </w:rPr>
        <w:t>5.加强新会计制度和新预算法学习培训</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加强新《预算法》、《政府会计制度》等学习培训，规范部门预算收支核算。一是加强财务人员培训，提高财务人员专业水平；二是制定和完善基本支出、项目支出等各项支出标准，严格按项目和进度执行预算，增强预算的约束力和严肃性；三是落实预算执行分析，及时了解预算执行差异，合理调整、纠正预算执行偏差，切实提高部门预算收支管理水平。</w:t>
      </w:r>
    </w:p>
    <w:p>
      <w:pPr>
        <w:jc w:val="center"/>
        <w:rPr>
          <w:rFonts w:hint="eastAsia" w:ascii="仿宋" w:hAnsi="仿宋" w:eastAsia="仿宋" w:cs="仿宋"/>
          <w:b/>
          <w:color w:val="000000"/>
          <w:kern w:val="0"/>
          <w:sz w:val="32"/>
          <w:szCs w:val="32"/>
          <w:lang w:val="en-US" w:eastAsia="zh-CN"/>
        </w:rPr>
      </w:pPr>
    </w:p>
    <w:p>
      <w:pPr>
        <w:jc w:val="center"/>
        <w:rPr>
          <w:rFonts w:hint="eastAsia" w:ascii="仿宋" w:hAnsi="仿宋" w:eastAsia="仿宋" w:cs="仿宋"/>
          <w:b/>
          <w:color w:val="000000"/>
          <w:kern w:val="0"/>
          <w:sz w:val="32"/>
          <w:szCs w:val="32"/>
          <w:lang w:val="en-US" w:eastAsia="zh-CN"/>
        </w:rPr>
      </w:pPr>
    </w:p>
    <w:p>
      <w:pPr>
        <w:jc w:val="center"/>
        <w:rPr>
          <w:rFonts w:hint="eastAsia" w:ascii="仿宋" w:hAnsi="仿宋" w:eastAsia="仿宋" w:cs="仿宋"/>
          <w:b/>
          <w:color w:val="000000"/>
          <w:kern w:val="0"/>
          <w:sz w:val="32"/>
          <w:szCs w:val="32"/>
          <w:lang w:val="en-US" w:eastAsia="zh-CN"/>
        </w:rPr>
      </w:pPr>
    </w:p>
    <w:p>
      <w:pPr>
        <w:jc w:val="center"/>
        <w:rPr>
          <w:rFonts w:hint="eastAsia" w:ascii="仿宋" w:hAnsi="仿宋" w:eastAsia="仿宋" w:cs="仿宋"/>
          <w:b/>
          <w:color w:val="000000"/>
          <w:kern w:val="0"/>
          <w:sz w:val="32"/>
          <w:szCs w:val="32"/>
          <w:lang w:val="en-US" w:eastAsia="zh-CN"/>
        </w:rPr>
      </w:pPr>
    </w:p>
    <w:p>
      <w:pPr>
        <w:jc w:val="center"/>
        <w:rPr>
          <w:rFonts w:hint="eastAsia" w:asciiTheme="minorEastAsia" w:hAnsiTheme="minorEastAsia" w:eastAsiaTheme="minorEastAsia" w:cstheme="minorEastAsia"/>
          <w:b/>
          <w:bCs/>
          <w:sz w:val="44"/>
          <w:szCs w:val="44"/>
          <w:lang w:val="en-US" w:eastAsia="zh-CN"/>
        </w:rPr>
      </w:pPr>
      <w:r>
        <w:rPr>
          <w:rFonts w:hint="eastAsia" w:ascii="仿宋" w:hAnsi="仿宋" w:eastAsia="仿宋" w:cs="仿宋"/>
          <w:b/>
          <w:color w:val="000000"/>
          <w:kern w:val="0"/>
          <w:sz w:val="32"/>
          <w:szCs w:val="32"/>
          <w:lang w:val="en-US" w:eastAsia="zh-CN"/>
        </w:rPr>
        <w:t xml:space="preserve"> </w:t>
      </w:r>
      <w:r>
        <w:rPr>
          <w:rFonts w:hint="eastAsia" w:ascii="方正大标宋_GBK" w:hAnsi="方正大标宋_GBK" w:eastAsia="方正大标宋_GBK" w:cs="方正大标宋_GBK"/>
          <w:b w:val="0"/>
          <w:bCs w:val="0"/>
          <w:sz w:val="44"/>
          <w:szCs w:val="44"/>
          <w:lang w:val="en-US" w:eastAsia="zh-CN"/>
        </w:rPr>
        <w:t>2022年地质灾害项目资金绩效评价报告</w:t>
      </w:r>
    </w:p>
    <w:p>
      <w:pPr>
        <w:numPr>
          <w:ilvl w:val="0"/>
          <w:numId w:val="0"/>
        </w:numPr>
        <w:ind w:firstLine="640" w:firstLineChars="200"/>
        <w:rPr>
          <w:rFonts w:hint="eastAsia" w:ascii="黑体" w:hAnsi="黑体" w:eastAsia="黑体" w:cs="黑体"/>
          <w:b w:val="0"/>
          <w:bCs w:val="0"/>
          <w:sz w:val="32"/>
          <w:szCs w:val="32"/>
          <w:lang w:val="en-US" w:eastAsia="zh-CN"/>
        </w:rPr>
      </w:pPr>
    </w:p>
    <w:p>
      <w:pPr>
        <w:numPr>
          <w:ilvl w:val="0"/>
          <w:numId w:val="0"/>
        </w:numPr>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一、基本情况</w:t>
      </w:r>
    </w:p>
    <w:p>
      <w:pPr>
        <w:numPr>
          <w:ilvl w:val="0"/>
          <w:numId w:val="0"/>
        </w:numPr>
        <w:ind w:firstLine="643" w:firstLineChars="200"/>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（一）项目概况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根据省财政厅《湖南省财政厅下达2021年中央自然灾害救灾（地质灾害）的通知》（湘财企指〔2021〕67号）、省应急管理厅《关于做好2021年中央自然灾害救灾资金（地质灾害）管理使用工作的通知》文件精神，结合我县实际情况，实施地质灾害治理，采取排查、治理相结合的方式消除地质灾害隐患，保护人民群众生命财产安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（二）项目绩效目标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2022年地质灾害项目，主要是预防和治理地质灾害隐患点，保护人民群众的生命财产安全。地质灾害失联人员搜救，防范二次灾害的应急调查与监测预警、灾害成因调查分析，灾害体应急治理、地质灾害引发的次生灾害风险应急处理等，提高地方应对自然灾害的能力，加强自然灾害防御，确保地区社会安定。</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 xml:space="preserve">    二、绩效评价工作开展情况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一</w:t>
      </w: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rPr>
        <w:t>绩效评价的目的、对象和范围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1、</w:t>
      </w:r>
      <w:r>
        <w:rPr>
          <w:rFonts w:hint="eastAsia" w:ascii="仿宋_GB2312" w:hAnsi="仿宋_GB2312" w:eastAsia="仿宋_GB2312" w:cs="仿宋_GB2312"/>
          <w:b w:val="0"/>
          <w:bCs w:val="0"/>
          <w:sz w:val="32"/>
          <w:szCs w:val="32"/>
        </w:rPr>
        <w:t>严格执行《预算法》，强化支出责任，提高项目资金使用效益，对项目支出情况开展绩效评价，践行“花钱必问效、无效必问责”。</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t>通过项目资金的绩效评价，进一步了解和掌握项目实施的具体情况，评价其项目资金安排的科学性、合理性、规范性和资金使用成效，及时总结项目管理经验，完善项目管理办法，提高项目管理水平和资金额使用效益。</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b w:val="0"/>
          <w:bCs w:val="0"/>
          <w:sz w:val="32"/>
          <w:szCs w:val="32"/>
        </w:rPr>
        <w:t>促使项目承担科室及项目分管领导，对绩效评价中发现的问题，认真整改，及时调整和完善单位的工作计划和绩效目标，提高管理水平，同时为项目后续资金投入、分配和管理提供决策依据。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4、地质灾害救灾资金</w:t>
      </w:r>
      <w:r>
        <w:rPr>
          <w:rFonts w:hint="eastAsia" w:ascii="仿宋_GB2312" w:hAnsi="仿宋_GB2312" w:eastAsia="仿宋_GB2312" w:cs="仿宋_GB2312"/>
          <w:b w:val="0"/>
          <w:bCs w:val="0"/>
          <w:sz w:val="32"/>
          <w:szCs w:val="32"/>
        </w:rPr>
        <w:t>，202</w:t>
      </w: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t>年涉及资金</w:t>
      </w:r>
      <w:r>
        <w:rPr>
          <w:rFonts w:hint="eastAsia" w:ascii="仿宋_GB2312" w:hAnsi="仿宋_GB2312" w:eastAsia="仿宋_GB2312" w:cs="仿宋_GB2312"/>
          <w:b w:val="0"/>
          <w:bCs w:val="0"/>
          <w:sz w:val="32"/>
          <w:szCs w:val="32"/>
          <w:lang w:val="en-US" w:eastAsia="zh-CN"/>
        </w:rPr>
        <w:t>50</w:t>
      </w:r>
      <w:r>
        <w:rPr>
          <w:rFonts w:hint="eastAsia" w:ascii="仿宋_GB2312" w:hAnsi="仿宋_GB2312" w:eastAsia="仿宋_GB2312" w:cs="仿宋_GB2312"/>
          <w:b w:val="0"/>
          <w:bCs w:val="0"/>
          <w:sz w:val="32"/>
          <w:szCs w:val="32"/>
        </w:rPr>
        <w:t>万元，全部用于</w:t>
      </w:r>
      <w:r>
        <w:rPr>
          <w:rFonts w:hint="eastAsia" w:ascii="仿宋_GB2312" w:hAnsi="仿宋_GB2312" w:eastAsia="仿宋_GB2312" w:cs="仿宋_GB2312"/>
          <w:b w:val="0"/>
          <w:bCs w:val="0"/>
          <w:sz w:val="32"/>
          <w:szCs w:val="32"/>
          <w:lang w:val="en-US" w:eastAsia="zh-CN"/>
        </w:rPr>
        <w:t>我县地质灾害风险排查、地质灾害治理、本县级应急避难场所建设的</w:t>
      </w:r>
      <w:r>
        <w:rPr>
          <w:rFonts w:hint="eastAsia" w:ascii="仿宋_GB2312" w:hAnsi="仿宋_GB2312" w:eastAsia="仿宋_GB2312" w:cs="仿宋_GB2312"/>
          <w:b w:val="0"/>
          <w:bCs w:val="0"/>
          <w:sz w:val="32"/>
          <w:szCs w:val="32"/>
        </w:rPr>
        <w:t>开支。</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val="0"/>
          <w:bCs w:val="0"/>
          <w:sz w:val="32"/>
          <w:szCs w:val="32"/>
        </w:rPr>
      </w:pPr>
      <w:r>
        <w:rPr>
          <w:rFonts w:hint="eastAsia" w:ascii="楷体_GB2312" w:hAnsi="楷体_GB2312" w:eastAsia="楷体_GB2312" w:cs="楷体_GB2312"/>
          <w:b/>
          <w:bCs/>
          <w:sz w:val="32"/>
          <w:szCs w:val="32"/>
        </w:rPr>
        <w:t>（二）绩效评价原则、评价指标体系（付表说明）、评价方法、评价标准等。</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rPr>
        <w:t>科学公正。</w:t>
      </w:r>
      <w:r>
        <w:rPr>
          <w:rFonts w:hint="eastAsia" w:ascii="仿宋_GB2312" w:hAnsi="仿宋_GB2312" w:eastAsia="仿宋_GB2312" w:cs="仿宋_GB2312"/>
          <w:b w:val="0"/>
          <w:bCs w:val="0"/>
          <w:sz w:val="32"/>
          <w:szCs w:val="32"/>
        </w:rPr>
        <w:t>绩效评价应当运用科学合理的方法，按照规范的程序，对项目绩效进行客观、公正的反映。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lang w:val="en-US" w:eastAsia="zh-CN"/>
        </w:rPr>
        <w:t>2、统筹兼顾。</w:t>
      </w:r>
      <w:r>
        <w:rPr>
          <w:rFonts w:hint="eastAsia" w:ascii="仿宋_GB2312" w:hAnsi="仿宋_GB2312" w:eastAsia="仿宋_GB2312" w:cs="仿宋_GB2312"/>
          <w:b w:val="0"/>
          <w:bCs w:val="0"/>
          <w:sz w:val="32"/>
          <w:szCs w:val="32"/>
        </w:rPr>
        <w:t>单位自评、部门评价和财政评价应职责明确，各有侧重，相互衔接。单位自评应由项目单位自助实施，即“谁支出、谁自评”。部门评价和财政评价应在单位自评的基础上开展。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lang w:val="en-US" w:eastAsia="zh-CN"/>
        </w:rPr>
        <w:t>3、激励约束。</w:t>
      </w:r>
      <w:r>
        <w:rPr>
          <w:rFonts w:hint="eastAsia" w:ascii="仿宋_GB2312" w:hAnsi="仿宋_GB2312" w:eastAsia="仿宋_GB2312" w:cs="仿宋_GB2312"/>
          <w:b w:val="0"/>
          <w:bCs w:val="0"/>
          <w:sz w:val="32"/>
          <w:szCs w:val="32"/>
        </w:rPr>
        <w:t>绩效评价结果应与预算安排、政策调整、改进管理实质性挂钩，体现奖优罚劣和激励相容导向，有效要安排，低效要压减、无效要问责。</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lang w:val="en-US" w:eastAsia="zh-CN"/>
        </w:rPr>
        <w:t>4、公开透明。</w:t>
      </w:r>
      <w:r>
        <w:rPr>
          <w:rFonts w:hint="eastAsia" w:ascii="仿宋_GB2312" w:hAnsi="仿宋_GB2312" w:eastAsia="仿宋_GB2312" w:cs="仿宋_GB2312"/>
          <w:b w:val="0"/>
          <w:bCs w:val="0"/>
          <w:sz w:val="32"/>
          <w:szCs w:val="32"/>
        </w:rPr>
        <w:t>绩效评价结果应依法依归公开，并自觉接受社会监督。</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（三）绩效评价过程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1、</w:t>
      </w:r>
      <w:r>
        <w:rPr>
          <w:rFonts w:hint="eastAsia" w:ascii="仿宋_GB2312" w:hAnsi="仿宋_GB2312" w:eastAsia="仿宋_GB2312" w:cs="仿宋_GB2312"/>
          <w:b w:val="0"/>
          <w:bCs w:val="0"/>
          <w:sz w:val="32"/>
          <w:szCs w:val="32"/>
        </w:rPr>
        <w:t>成立绩效评价小组；</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t>组织相关人员进行培训；</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b w:val="0"/>
          <w:bCs w:val="0"/>
          <w:sz w:val="32"/>
          <w:szCs w:val="32"/>
        </w:rPr>
        <w:t>收集相关资料；</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4、</w:t>
      </w:r>
      <w:r>
        <w:rPr>
          <w:rFonts w:hint="eastAsia" w:ascii="仿宋_GB2312" w:hAnsi="仿宋_GB2312" w:eastAsia="仿宋_GB2312" w:cs="仿宋_GB2312"/>
          <w:b w:val="0"/>
          <w:bCs w:val="0"/>
          <w:sz w:val="32"/>
          <w:szCs w:val="32"/>
        </w:rPr>
        <w:t>分析资料、汇总评价数据；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楷体_GB2312" w:hAnsi="楷体_GB2312" w:eastAsia="楷体_GB2312" w:cs="楷体_GB2312"/>
          <w:b/>
          <w:bCs/>
          <w:sz w:val="32"/>
          <w:szCs w:val="32"/>
        </w:rPr>
      </w:pPr>
      <w:r>
        <w:rPr>
          <w:rFonts w:hint="eastAsia" w:ascii="仿宋_GB2312" w:hAnsi="仿宋_GB2312" w:eastAsia="仿宋_GB2312" w:cs="仿宋_GB2312"/>
          <w:b w:val="0"/>
          <w:bCs w:val="0"/>
          <w:sz w:val="32"/>
          <w:szCs w:val="32"/>
          <w:lang w:val="en-US" w:eastAsia="zh-CN"/>
        </w:rPr>
        <w:t>5、</w:t>
      </w:r>
      <w:r>
        <w:rPr>
          <w:rFonts w:hint="eastAsia" w:ascii="仿宋_GB2312" w:hAnsi="仿宋_GB2312" w:eastAsia="仿宋_GB2312" w:cs="仿宋_GB2312"/>
          <w:b w:val="0"/>
          <w:bCs w:val="0"/>
          <w:sz w:val="32"/>
          <w:szCs w:val="32"/>
        </w:rPr>
        <w:t>填写项目支出绩效单位自评表，撰写绩效自评报告</w:t>
      </w:r>
      <w:r>
        <w:rPr>
          <w:rFonts w:hint="eastAsia" w:ascii="楷体_GB2312" w:hAnsi="楷体_GB2312" w:eastAsia="楷体_GB2312" w:cs="楷体_GB2312"/>
          <w:b/>
          <w:bCs/>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三、综合评价及评价结论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2022年 </w:t>
      </w:r>
      <w:r>
        <w:rPr>
          <w:rFonts w:hint="eastAsia" w:ascii="仿宋_GB2312" w:hAnsi="仿宋_GB2312" w:eastAsia="仿宋_GB2312" w:cs="仿宋_GB2312"/>
          <w:b w:val="0"/>
          <w:bCs w:val="0"/>
          <w:sz w:val="32"/>
          <w:szCs w:val="32"/>
        </w:rPr>
        <w:t>项目总投资预算</w:t>
      </w:r>
      <w:r>
        <w:rPr>
          <w:rFonts w:hint="eastAsia" w:ascii="仿宋_GB2312" w:hAnsi="仿宋_GB2312" w:eastAsia="仿宋_GB2312" w:cs="仿宋_GB2312"/>
          <w:b w:val="0"/>
          <w:bCs w:val="0"/>
          <w:sz w:val="32"/>
          <w:szCs w:val="32"/>
          <w:lang w:val="en-US" w:eastAsia="zh-CN"/>
        </w:rPr>
        <w:t>50</w:t>
      </w:r>
      <w:r>
        <w:rPr>
          <w:rFonts w:hint="eastAsia" w:ascii="仿宋_GB2312" w:hAnsi="仿宋_GB2312" w:eastAsia="仿宋_GB2312" w:cs="仿宋_GB2312"/>
          <w:b w:val="0"/>
          <w:bCs w:val="0"/>
          <w:sz w:val="32"/>
          <w:szCs w:val="32"/>
        </w:rPr>
        <w:t>万元。</w:t>
      </w:r>
      <w:r>
        <w:rPr>
          <w:rFonts w:hint="eastAsia" w:ascii="仿宋_GB2312" w:hAnsi="仿宋_GB2312" w:eastAsia="仿宋_GB2312" w:cs="仿宋_GB2312"/>
          <w:b w:val="0"/>
          <w:bCs w:val="0"/>
          <w:sz w:val="32"/>
          <w:szCs w:val="32"/>
          <w:lang w:val="en-US" w:eastAsia="zh-CN"/>
        </w:rPr>
        <w:t>全部资金用于我县地质灾害风险排查、地质灾害治理、本县级应急避难场所建设，占总预算的100%。2022年12月31日，该项目预算50万元资金，已拨付到位，决算支出50万元，预算执行率100%。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800" w:firstLineChars="25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rPr>
        <w:t>该项目目前已完成总体进度</w:t>
      </w:r>
      <w:r>
        <w:rPr>
          <w:rFonts w:hint="eastAsia" w:ascii="仿宋_GB2312" w:hAnsi="仿宋_GB2312" w:eastAsia="仿宋_GB2312" w:cs="仿宋_GB2312"/>
          <w:b w:val="0"/>
          <w:bCs w:val="0"/>
          <w:sz w:val="32"/>
          <w:szCs w:val="32"/>
          <w:lang w:val="en-US" w:eastAsia="zh-CN"/>
        </w:rPr>
        <w:t>100</w:t>
      </w:r>
      <w:r>
        <w:rPr>
          <w:rFonts w:hint="eastAsia" w:ascii="仿宋_GB2312" w:hAnsi="仿宋_GB2312" w:eastAsia="仿宋_GB2312" w:cs="仿宋_GB2312"/>
          <w:b w:val="0"/>
          <w:bCs w:val="0"/>
          <w:sz w:val="32"/>
          <w:szCs w:val="32"/>
        </w:rPr>
        <w:t>%，其中，完成了</w:t>
      </w:r>
      <w:r>
        <w:rPr>
          <w:rFonts w:hint="eastAsia" w:ascii="仿宋_GB2312" w:hAnsi="仿宋_GB2312" w:eastAsia="仿宋_GB2312" w:cs="仿宋_GB2312"/>
          <w:b w:val="0"/>
          <w:bCs w:val="0"/>
          <w:sz w:val="32"/>
          <w:szCs w:val="32"/>
          <w:lang w:val="en-US" w:eastAsia="zh-CN"/>
        </w:rPr>
        <w:t>我县地质灾害点全覆盖排查。项目全部目标。完成率100%，项目验收合格率100%，灾区群众满意度95%。</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四、绩效评价指标分析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3" w:firstLineChars="200"/>
        <w:jc w:val="both"/>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（一）项目决策情况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地质灾害救灾资金由县财政局、县应急管理局联合制定资金使用标准，不得挤占、挪用、截留或扩大资金资金使用范围；姚严格按照财务制度有关规定拨付和使用资金，建立台账和财务档案，做到账实相符、账表相符、账账相符。公示无异议后，组织实施相关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3" w:firstLineChars="200"/>
        <w:jc w:val="both"/>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（二）项目产出过程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按照各乡镇地质灾害不同分配资金，重点地质灾害点林冲镇23万元，主要用于地质灾害点治理，本县2万元，主要用于应急避难场所建设；晃州镇3万元；波州镇3万元；鱼市镇2万元；凉伞镇1万元；扶罗镇5万元；中寨镇3万元，步头降乡1万元；贡溪镇1万元；禾滩镇2万元；米贝乡4万元；共计50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3" w:firstLineChars="200"/>
        <w:jc w:val="both"/>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（三）项目产出情况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2022年 </w:t>
      </w:r>
      <w:r>
        <w:rPr>
          <w:rFonts w:hint="eastAsia" w:ascii="仿宋_GB2312" w:hAnsi="仿宋_GB2312" w:eastAsia="仿宋_GB2312" w:cs="仿宋_GB2312"/>
          <w:b w:val="0"/>
          <w:bCs w:val="0"/>
          <w:sz w:val="32"/>
          <w:szCs w:val="32"/>
        </w:rPr>
        <w:t>项目总投资预算</w:t>
      </w:r>
      <w:r>
        <w:rPr>
          <w:rFonts w:hint="eastAsia" w:ascii="仿宋_GB2312" w:hAnsi="仿宋_GB2312" w:eastAsia="仿宋_GB2312" w:cs="仿宋_GB2312"/>
          <w:b w:val="0"/>
          <w:bCs w:val="0"/>
          <w:sz w:val="32"/>
          <w:szCs w:val="32"/>
          <w:lang w:val="en-US" w:eastAsia="zh-CN"/>
        </w:rPr>
        <w:t>50</w:t>
      </w:r>
      <w:r>
        <w:rPr>
          <w:rFonts w:hint="eastAsia" w:ascii="仿宋_GB2312" w:hAnsi="仿宋_GB2312" w:eastAsia="仿宋_GB2312" w:cs="仿宋_GB2312"/>
          <w:b w:val="0"/>
          <w:bCs w:val="0"/>
          <w:sz w:val="32"/>
          <w:szCs w:val="32"/>
        </w:rPr>
        <w:t>万元。</w:t>
      </w:r>
      <w:r>
        <w:rPr>
          <w:rFonts w:hint="eastAsia" w:ascii="仿宋_GB2312" w:hAnsi="仿宋_GB2312" w:eastAsia="仿宋_GB2312" w:cs="仿宋_GB2312"/>
          <w:b w:val="0"/>
          <w:bCs w:val="0"/>
          <w:sz w:val="32"/>
          <w:szCs w:val="32"/>
          <w:lang w:val="en-US" w:eastAsia="zh-CN"/>
        </w:rPr>
        <w:t>全部资金用于我县地质灾害风险排查、地质灾害治理、本县级应急避难场所建设，占总预算的100%。2022年12月31日，该项目预算50万元资金，已拨付到位，决算支出50万元，预算执行率100%。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3" w:firstLineChars="200"/>
        <w:jc w:val="both"/>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（四）项目效益情况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1、产出指标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2022年我单位地质灾害资金共支付50万元，占自中央转移支付资金的68.55%，剩余0万元未支付。保障受灾群众3721户；覆盖人口数23487人，受益人口满意度达到100%。</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2、经济效益</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2022年中央救灾资金下拨</w:t>
      </w:r>
      <w:r>
        <w:rPr>
          <w:rFonts w:hint="eastAsia" w:ascii="仿宋_GB2312" w:hAnsi="仿宋_GB2312" w:eastAsia="仿宋_GB2312" w:cs="仿宋_GB2312"/>
          <w:sz w:val="32"/>
          <w:szCs w:val="32"/>
          <w:lang w:eastAsia="zh-CN"/>
        </w:rPr>
        <w:t>完成及时率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促进乡村经济发展，改善</w:t>
      </w:r>
      <w:r>
        <w:rPr>
          <w:rFonts w:hint="eastAsia" w:ascii="仿宋_GB2312" w:hAnsi="仿宋_GB2312" w:eastAsia="仿宋_GB2312" w:cs="仿宋_GB2312"/>
          <w:sz w:val="32"/>
          <w:szCs w:val="32"/>
          <w:lang w:val="en-US" w:eastAsia="zh-CN"/>
        </w:rPr>
        <w:t>受灾群众</w:t>
      </w:r>
      <w:r>
        <w:rPr>
          <w:rFonts w:hint="eastAsia" w:ascii="仿宋_GB2312" w:hAnsi="仿宋_GB2312" w:eastAsia="仿宋_GB2312" w:cs="仿宋_GB2312"/>
          <w:sz w:val="32"/>
          <w:szCs w:val="32"/>
        </w:rPr>
        <w:t>生活条件，</w:t>
      </w:r>
      <w:r>
        <w:rPr>
          <w:rFonts w:hint="eastAsia" w:ascii="仿宋_GB2312" w:hAnsi="仿宋_GB2312" w:eastAsia="仿宋_GB2312" w:cs="仿宋_GB2312"/>
          <w:sz w:val="32"/>
          <w:szCs w:val="32"/>
          <w:lang w:val="en-US" w:eastAsia="zh-CN"/>
        </w:rPr>
        <w:t>保障人民群众生命财产安全，</w:t>
      </w:r>
      <w:r>
        <w:rPr>
          <w:rFonts w:hint="eastAsia" w:ascii="仿宋_GB2312" w:hAnsi="仿宋_GB2312" w:eastAsia="仿宋_GB2312" w:cs="仿宋_GB2312"/>
          <w:sz w:val="32"/>
          <w:szCs w:val="32"/>
        </w:rPr>
        <w:t>增加人民群众幸福感。</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可持续性</w:t>
      </w:r>
      <w:r>
        <w:rPr>
          <w:rFonts w:hint="eastAsia" w:ascii="仿宋_GB2312" w:hAnsi="仿宋_GB2312" w:eastAsia="仿宋_GB2312" w:cs="仿宋_GB2312"/>
          <w:sz w:val="32"/>
          <w:szCs w:val="32"/>
        </w:rPr>
        <w:t>分析</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资金支付</w:t>
      </w:r>
      <w:r>
        <w:rPr>
          <w:rFonts w:hint="eastAsia" w:ascii="仿宋_GB2312" w:hAnsi="仿宋_GB2312" w:eastAsia="仿宋_GB2312" w:cs="仿宋_GB2312"/>
          <w:sz w:val="32"/>
          <w:szCs w:val="32"/>
          <w:lang w:eastAsia="zh-CN"/>
        </w:rPr>
        <w:t>完成后，我</w:t>
      </w:r>
      <w:r>
        <w:rPr>
          <w:rFonts w:hint="eastAsia" w:ascii="仿宋_GB2312" w:hAnsi="仿宋_GB2312" w:eastAsia="仿宋_GB2312" w:cs="仿宋_GB2312"/>
          <w:sz w:val="32"/>
          <w:szCs w:val="32"/>
          <w:lang w:val="en-US" w:eastAsia="zh-CN"/>
        </w:rPr>
        <w:t>单位</w:t>
      </w:r>
      <w:r>
        <w:rPr>
          <w:rFonts w:hint="eastAsia" w:ascii="仿宋_GB2312" w:hAnsi="仿宋_GB2312" w:eastAsia="仿宋_GB2312" w:cs="仿宋_GB2312"/>
          <w:sz w:val="32"/>
          <w:szCs w:val="32"/>
          <w:lang w:eastAsia="zh-CN"/>
        </w:rPr>
        <w:t>积极对</w:t>
      </w:r>
      <w:r>
        <w:rPr>
          <w:rFonts w:hint="eastAsia" w:ascii="仿宋_GB2312" w:hAnsi="仿宋_GB2312" w:eastAsia="仿宋_GB2312" w:cs="仿宋_GB2312"/>
          <w:sz w:val="32"/>
          <w:szCs w:val="32"/>
          <w:lang w:val="en-US" w:eastAsia="zh-CN"/>
        </w:rPr>
        <w:t>资金使用</w:t>
      </w:r>
      <w:r>
        <w:rPr>
          <w:rFonts w:hint="eastAsia" w:ascii="仿宋_GB2312" w:hAnsi="仿宋_GB2312" w:eastAsia="仿宋_GB2312" w:cs="仿宋_GB2312"/>
          <w:sz w:val="32"/>
          <w:szCs w:val="32"/>
          <w:lang w:eastAsia="zh-CN"/>
        </w:rPr>
        <w:t>进行</w:t>
      </w:r>
      <w:r>
        <w:rPr>
          <w:rFonts w:hint="eastAsia" w:ascii="仿宋_GB2312" w:hAnsi="仿宋_GB2312" w:eastAsia="仿宋_GB2312" w:cs="仿宋_GB2312"/>
          <w:sz w:val="32"/>
          <w:szCs w:val="32"/>
          <w:lang w:val="en-US" w:eastAsia="zh-CN"/>
        </w:rPr>
        <w:t>后续追踪</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确保资金专款专用，</w:t>
      </w:r>
      <w:r>
        <w:rPr>
          <w:rFonts w:hint="eastAsia" w:ascii="仿宋_GB2312" w:hAnsi="仿宋_GB2312" w:eastAsia="仿宋_GB2312" w:cs="仿宋_GB2312"/>
          <w:sz w:val="32"/>
          <w:szCs w:val="32"/>
          <w:lang w:eastAsia="zh-CN"/>
        </w:rPr>
        <w:t>各</w:t>
      </w:r>
      <w:r>
        <w:rPr>
          <w:rFonts w:hint="eastAsia" w:ascii="仿宋_GB2312" w:hAnsi="仿宋_GB2312" w:eastAsia="仿宋_GB2312" w:cs="仿宋_GB2312"/>
          <w:sz w:val="32"/>
          <w:szCs w:val="32"/>
          <w:lang w:val="en-US" w:eastAsia="zh-CN"/>
        </w:rPr>
        <w:t>乡镇</w:t>
      </w:r>
      <w:r>
        <w:rPr>
          <w:rFonts w:hint="eastAsia" w:ascii="仿宋_GB2312" w:hAnsi="仿宋_GB2312" w:eastAsia="仿宋_GB2312" w:cs="仿宋_GB2312"/>
          <w:sz w:val="32"/>
          <w:szCs w:val="32"/>
          <w:lang w:eastAsia="zh-CN"/>
        </w:rPr>
        <w:t>有专人负责，保障</w:t>
      </w:r>
      <w:r>
        <w:rPr>
          <w:rFonts w:hint="eastAsia" w:ascii="仿宋_GB2312" w:hAnsi="仿宋_GB2312" w:eastAsia="仿宋_GB2312" w:cs="仿宋_GB2312"/>
          <w:sz w:val="32"/>
          <w:szCs w:val="32"/>
          <w:lang w:val="en-US" w:eastAsia="zh-CN"/>
        </w:rPr>
        <w:t>受灾群众灾情上报情况</w:t>
      </w:r>
      <w:r>
        <w:rPr>
          <w:rFonts w:hint="eastAsia" w:ascii="仿宋_GB2312" w:hAnsi="仿宋_GB2312" w:eastAsia="仿宋_GB2312" w:cs="仿宋_GB2312"/>
          <w:sz w:val="32"/>
          <w:szCs w:val="32"/>
          <w:lang w:eastAsia="zh-CN"/>
        </w:rPr>
        <w:t>。并对</w:t>
      </w:r>
      <w:r>
        <w:rPr>
          <w:rFonts w:hint="eastAsia" w:ascii="仿宋_GB2312" w:hAnsi="仿宋_GB2312" w:eastAsia="仿宋_GB2312" w:cs="仿宋_GB2312"/>
          <w:sz w:val="32"/>
          <w:szCs w:val="32"/>
          <w:lang w:val="en-US" w:eastAsia="zh-CN"/>
        </w:rPr>
        <w:t>受灾群众通过实地走访等方式</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鉴定受灾程度，保证资金使用</w:t>
      </w:r>
      <w:r>
        <w:rPr>
          <w:rFonts w:hint="eastAsia" w:ascii="仿宋_GB2312" w:hAnsi="仿宋_GB2312" w:eastAsia="仿宋_GB2312" w:cs="仿宋_GB2312"/>
          <w:sz w:val="32"/>
          <w:szCs w:val="32"/>
          <w:lang w:eastAsia="zh-CN"/>
        </w:rPr>
        <w:t>。同时积极向上级相关部门汇报，尽可能的为我</w:t>
      </w:r>
      <w:r>
        <w:rPr>
          <w:rFonts w:hint="eastAsia" w:ascii="仿宋_GB2312" w:hAnsi="仿宋_GB2312" w:eastAsia="仿宋_GB2312" w:cs="仿宋_GB2312"/>
          <w:sz w:val="32"/>
          <w:szCs w:val="32"/>
          <w:lang w:val="en-US" w:eastAsia="zh-CN"/>
        </w:rPr>
        <w:t>单位</w:t>
      </w:r>
      <w:r>
        <w:rPr>
          <w:rFonts w:hint="eastAsia" w:ascii="仿宋_GB2312" w:hAnsi="仿宋_GB2312" w:eastAsia="仿宋_GB2312" w:cs="仿宋_GB2312"/>
          <w:sz w:val="32"/>
          <w:szCs w:val="32"/>
          <w:lang w:eastAsia="zh-CN"/>
        </w:rPr>
        <w:t>争取政策倾斜和资金支持，更好的完善</w:t>
      </w:r>
      <w:r>
        <w:rPr>
          <w:rFonts w:hint="eastAsia" w:ascii="仿宋_GB2312" w:hAnsi="仿宋_GB2312" w:eastAsia="仿宋_GB2312" w:cs="仿宋_GB2312"/>
          <w:sz w:val="32"/>
          <w:szCs w:val="32"/>
          <w:lang w:val="en-US" w:eastAsia="zh-CN"/>
        </w:rPr>
        <w:t>各乡镇</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lang w:val="en-US" w:eastAsia="zh-CN"/>
        </w:rPr>
        <w:t>自然灾害防治及应急能力</w:t>
      </w:r>
      <w:r>
        <w:rPr>
          <w:rFonts w:hint="eastAsia" w:ascii="仿宋_GB2312" w:hAnsi="仿宋_GB2312" w:eastAsia="仿宋_GB2312" w:cs="仿宋_GB2312"/>
          <w:sz w:val="32"/>
          <w:szCs w:val="32"/>
          <w:lang w:eastAsia="zh-CN"/>
        </w:rPr>
        <w:t>建设。</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五、主要经验及做法，存在的问题及原因分析</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因自然灾害具有突发性的特点，无法准确预估受灾情况，应在平时加强自然灾害的预防能力，提高应对自然灾害的应对能力，加快救灾安置点的建设。</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六、有关建议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七、其他需要说明的问题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因自然灾害的突发性、不可遇见性，无法准确将受灾补助纳入预算内执行，故预算执行率上下浮动较大。</w:t>
      </w:r>
    </w:p>
    <w:p>
      <w:pPr>
        <w:jc w:val="center"/>
        <w:rPr>
          <w:rFonts w:hint="eastAsia" w:ascii="方正大标宋_GBK" w:hAnsi="方正大标宋_GBK" w:eastAsia="方正大标宋_GBK" w:cs="方正大标宋_GBK"/>
          <w:b w:val="0"/>
          <w:bCs w:val="0"/>
          <w:sz w:val="44"/>
          <w:szCs w:val="44"/>
          <w:lang w:val="en-US" w:eastAsia="zh-CN"/>
        </w:rPr>
      </w:pPr>
    </w:p>
    <w:p>
      <w:pPr>
        <w:jc w:val="center"/>
        <w:rPr>
          <w:rFonts w:hint="eastAsia" w:ascii="方正大标宋_GBK" w:hAnsi="方正大标宋_GBK" w:eastAsia="方正大标宋_GBK" w:cs="方正大标宋_GBK"/>
          <w:b w:val="0"/>
          <w:bCs w:val="0"/>
          <w:sz w:val="44"/>
          <w:szCs w:val="44"/>
          <w:lang w:val="en-US" w:eastAsia="zh-CN"/>
        </w:rPr>
      </w:pPr>
    </w:p>
    <w:p>
      <w:pPr>
        <w:jc w:val="center"/>
        <w:rPr>
          <w:rFonts w:hint="eastAsia" w:ascii="方正大标宋_GBK" w:hAnsi="方正大标宋_GBK" w:eastAsia="方正大标宋_GBK" w:cs="方正大标宋_GBK"/>
          <w:b w:val="0"/>
          <w:bCs w:val="0"/>
          <w:sz w:val="44"/>
          <w:szCs w:val="44"/>
          <w:lang w:val="en-US" w:eastAsia="zh-CN"/>
        </w:rPr>
      </w:pPr>
    </w:p>
    <w:p>
      <w:pPr>
        <w:jc w:val="center"/>
        <w:rPr>
          <w:rFonts w:hint="eastAsia" w:ascii="方正大标宋_GBK" w:hAnsi="方正大标宋_GBK" w:eastAsia="方正大标宋_GBK" w:cs="方正大标宋_GBK"/>
          <w:b w:val="0"/>
          <w:bCs w:val="0"/>
          <w:sz w:val="44"/>
          <w:szCs w:val="44"/>
          <w:lang w:val="en-US" w:eastAsia="zh-CN"/>
        </w:rPr>
      </w:pPr>
    </w:p>
    <w:p>
      <w:pPr>
        <w:jc w:val="center"/>
        <w:rPr>
          <w:rFonts w:hint="eastAsia" w:ascii="方正大标宋_GBK" w:hAnsi="方正大标宋_GBK" w:eastAsia="方正大标宋_GBK" w:cs="方正大标宋_GBK"/>
          <w:b w:val="0"/>
          <w:bCs w:val="0"/>
          <w:sz w:val="44"/>
          <w:szCs w:val="44"/>
          <w:lang w:val="en-US" w:eastAsia="zh-CN"/>
        </w:rPr>
      </w:pPr>
    </w:p>
    <w:p>
      <w:pPr>
        <w:jc w:val="center"/>
        <w:rPr>
          <w:rFonts w:hint="eastAsia" w:ascii="方正大标宋_GBK" w:hAnsi="方正大标宋_GBK" w:eastAsia="方正大标宋_GBK" w:cs="方正大标宋_GBK"/>
          <w:b w:val="0"/>
          <w:bCs w:val="0"/>
          <w:sz w:val="44"/>
          <w:szCs w:val="44"/>
          <w:lang w:val="en-US" w:eastAsia="zh-CN"/>
        </w:rPr>
      </w:pPr>
    </w:p>
    <w:p>
      <w:pPr>
        <w:jc w:val="center"/>
        <w:rPr>
          <w:rFonts w:hint="eastAsia" w:ascii="方正大标宋_GBK" w:hAnsi="方正大标宋_GBK" w:eastAsia="方正大标宋_GBK" w:cs="方正大标宋_GBK"/>
          <w:b w:val="0"/>
          <w:bCs w:val="0"/>
          <w:sz w:val="44"/>
          <w:szCs w:val="44"/>
          <w:lang w:val="en-US" w:eastAsia="zh-CN"/>
        </w:rPr>
      </w:pPr>
    </w:p>
    <w:p>
      <w:pPr>
        <w:jc w:val="center"/>
        <w:rPr>
          <w:rFonts w:hint="eastAsia" w:ascii="方正大标宋_GBK" w:hAnsi="方正大标宋_GBK" w:eastAsia="方正大标宋_GBK" w:cs="方正大标宋_GBK"/>
          <w:b w:val="0"/>
          <w:bCs w:val="0"/>
          <w:sz w:val="44"/>
          <w:szCs w:val="44"/>
          <w:lang w:val="en-US" w:eastAsia="zh-CN"/>
        </w:rPr>
      </w:pPr>
    </w:p>
    <w:p>
      <w:pPr>
        <w:jc w:val="center"/>
        <w:rPr>
          <w:rFonts w:hint="eastAsia" w:ascii="方正大标宋_GBK" w:hAnsi="方正大标宋_GBK" w:eastAsia="方正大标宋_GBK" w:cs="方正大标宋_GBK"/>
          <w:b w:val="0"/>
          <w:bCs w:val="0"/>
          <w:sz w:val="44"/>
          <w:szCs w:val="44"/>
          <w:lang w:val="en-US" w:eastAsia="zh-CN"/>
        </w:rPr>
      </w:pPr>
    </w:p>
    <w:p>
      <w:pPr>
        <w:jc w:val="center"/>
        <w:rPr>
          <w:rFonts w:hint="eastAsia" w:ascii="方正大标宋_GBK" w:hAnsi="方正大标宋_GBK" w:eastAsia="方正大标宋_GBK" w:cs="方正大标宋_GBK"/>
          <w:b w:val="0"/>
          <w:bCs w:val="0"/>
          <w:sz w:val="44"/>
          <w:szCs w:val="44"/>
          <w:lang w:val="en-US" w:eastAsia="zh-CN"/>
        </w:rPr>
      </w:pPr>
    </w:p>
    <w:p>
      <w:pPr>
        <w:jc w:val="center"/>
        <w:rPr>
          <w:rFonts w:hint="eastAsia" w:ascii="方正大标宋_GBK" w:hAnsi="方正大标宋_GBK" w:eastAsia="方正大标宋_GBK" w:cs="方正大标宋_GBK"/>
          <w:b w:val="0"/>
          <w:bCs w:val="0"/>
          <w:sz w:val="44"/>
          <w:szCs w:val="44"/>
          <w:lang w:val="en-US" w:eastAsia="zh-CN"/>
        </w:rPr>
      </w:pPr>
    </w:p>
    <w:p>
      <w:pPr>
        <w:jc w:val="center"/>
        <w:rPr>
          <w:rFonts w:hint="eastAsia" w:ascii="方正大标宋_GBK" w:hAnsi="方正大标宋_GBK" w:eastAsia="方正大标宋_GBK" w:cs="方正大标宋_GBK"/>
          <w:b w:val="0"/>
          <w:bCs w:val="0"/>
          <w:sz w:val="44"/>
          <w:szCs w:val="44"/>
          <w:lang w:val="en-US" w:eastAsia="zh-CN"/>
        </w:rPr>
      </w:pPr>
    </w:p>
    <w:p>
      <w:pPr>
        <w:jc w:val="center"/>
        <w:rPr>
          <w:rFonts w:hint="eastAsia" w:ascii="方正大标宋_GBK" w:hAnsi="方正大标宋_GBK" w:eastAsia="方正大标宋_GBK" w:cs="方正大标宋_GBK"/>
          <w:b w:val="0"/>
          <w:bCs w:val="0"/>
          <w:sz w:val="44"/>
          <w:szCs w:val="44"/>
          <w:lang w:val="en-US" w:eastAsia="zh-CN"/>
        </w:rPr>
      </w:pPr>
    </w:p>
    <w:p>
      <w:pPr>
        <w:jc w:val="center"/>
        <w:rPr>
          <w:rFonts w:hint="eastAsia" w:ascii="方正大标宋_GBK" w:hAnsi="方正大标宋_GBK" w:eastAsia="方正大标宋_GBK" w:cs="方正大标宋_GBK"/>
          <w:b w:val="0"/>
          <w:bCs w:val="0"/>
          <w:sz w:val="44"/>
          <w:szCs w:val="44"/>
          <w:lang w:val="en-US" w:eastAsia="zh-CN"/>
        </w:rPr>
      </w:pPr>
    </w:p>
    <w:p>
      <w:pPr>
        <w:jc w:val="center"/>
        <w:rPr>
          <w:rFonts w:hint="eastAsia" w:ascii="方正大标宋_GBK" w:hAnsi="方正大标宋_GBK" w:eastAsia="方正大标宋_GBK" w:cs="方正大标宋_GBK"/>
          <w:b w:val="0"/>
          <w:bCs w:val="0"/>
          <w:sz w:val="44"/>
          <w:szCs w:val="44"/>
          <w:lang w:val="en-US" w:eastAsia="zh-CN"/>
        </w:rPr>
      </w:pPr>
    </w:p>
    <w:p>
      <w:pPr>
        <w:jc w:val="center"/>
        <w:rPr>
          <w:rFonts w:hint="eastAsia" w:ascii="方正大标宋_GBK" w:hAnsi="方正大标宋_GBK" w:eastAsia="方正大标宋_GBK" w:cs="方正大标宋_GBK"/>
          <w:b w:val="0"/>
          <w:bCs w:val="0"/>
          <w:sz w:val="44"/>
          <w:szCs w:val="44"/>
          <w:lang w:val="en-US" w:eastAsia="zh-CN"/>
        </w:rPr>
      </w:pPr>
    </w:p>
    <w:p>
      <w:pPr>
        <w:jc w:val="center"/>
        <w:rPr>
          <w:rFonts w:hint="eastAsia" w:ascii="方正大标宋_GBK" w:hAnsi="方正大标宋_GBK" w:eastAsia="方正大标宋_GBK" w:cs="方正大标宋_GBK"/>
          <w:b w:val="0"/>
          <w:bCs w:val="0"/>
          <w:sz w:val="44"/>
          <w:szCs w:val="44"/>
          <w:lang w:val="en-US" w:eastAsia="zh-CN"/>
        </w:rPr>
      </w:pPr>
    </w:p>
    <w:p>
      <w:pPr>
        <w:jc w:val="center"/>
        <w:rPr>
          <w:rFonts w:hint="eastAsia" w:asciiTheme="majorEastAsia" w:hAnsiTheme="majorEastAsia" w:eastAsiaTheme="majorEastAsia" w:cstheme="majorEastAsia"/>
          <w:b/>
          <w:bCs/>
          <w:sz w:val="44"/>
          <w:szCs w:val="44"/>
          <w:lang w:val="en-US" w:eastAsia="zh-CN"/>
        </w:rPr>
      </w:pPr>
      <w:r>
        <w:rPr>
          <w:rFonts w:hint="eastAsia" w:ascii="方正大标宋_GBK" w:hAnsi="方正大标宋_GBK" w:eastAsia="方正大标宋_GBK" w:cs="方正大标宋_GBK"/>
          <w:b w:val="0"/>
          <w:bCs w:val="0"/>
          <w:sz w:val="44"/>
          <w:szCs w:val="44"/>
          <w:lang w:val="en-US" w:eastAsia="zh-CN"/>
        </w:rPr>
        <w:t>2022年冬春救助专项资金绩效自评报告</w:t>
      </w:r>
    </w:p>
    <w:p>
      <w:pPr>
        <w:numPr>
          <w:ilvl w:val="0"/>
          <w:numId w:val="0"/>
        </w:numPr>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一、基本情况</w:t>
      </w:r>
    </w:p>
    <w:p>
      <w:pPr>
        <w:numPr>
          <w:ilvl w:val="0"/>
          <w:numId w:val="0"/>
        </w:numPr>
        <w:ind w:firstLine="600" w:firstLineChars="200"/>
        <w:rPr>
          <w:rFonts w:hint="eastAsia" w:ascii="楷体_GB2312" w:hAnsi="楷体_GB2312" w:eastAsia="楷体_GB2312" w:cs="楷体_GB2312"/>
          <w:b w:val="0"/>
          <w:bCs w:val="0"/>
          <w:sz w:val="30"/>
          <w:szCs w:val="30"/>
          <w:lang w:val="en-US" w:eastAsia="zh-CN"/>
        </w:rPr>
      </w:pPr>
      <w:r>
        <w:rPr>
          <w:rFonts w:hint="eastAsia" w:ascii="楷体_GB2312" w:hAnsi="楷体_GB2312" w:eastAsia="楷体_GB2312" w:cs="楷体_GB2312"/>
          <w:b w:val="0"/>
          <w:bCs w:val="0"/>
          <w:sz w:val="30"/>
          <w:szCs w:val="30"/>
          <w:lang w:val="en-US" w:eastAsia="zh-CN"/>
        </w:rPr>
        <w:t>（一）项目概况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冬春救助资金是自然灾害救灾资金的一种，是一项重要的民生工程，为贯彻落实党中央、国务院的决策部署，主要用于受灾群众救助（应急救助、过渡期生活救助、旱灾救助、抚慰遇难人员家属、恢复重建倒损住房、解决受灾群众冬令春荒期间生活困难等），提高地方应对自然灾害的能力，加强自然灾害防御，确保地区社会安定，保护人民生命财产安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（二）项目绩效目标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提高地方应对自然灾害的能力，保护人民生命财产安全，帮助受灾群众灾后重建家园，对受灾群众过渡期生活救助，恢复重建倒损住房，解决受灾群众冬令春荒期间生活困难等绩效目标。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我县冬春救助资金主要用于对受灾群众过渡期生活的救助，解决受灾群众冬令春荒期间生活困难等，保障受灾群众的基本生活需求，安抚受灾群众的情绪。</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黑体" w:hAnsi="黑体" w:eastAsia="黑体" w:cs="黑体"/>
          <w:b w:val="0"/>
          <w:bCs w:val="0"/>
          <w:sz w:val="32"/>
          <w:szCs w:val="32"/>
          <w:lang w:val="en-US" w:eastAsia="zh-CN"/>
        </w:rPr>
        <w:t>二、绩效评价工作开展情况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一</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绩效评价的目的、对象和范围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（1）严格执行《预算法》，强化支出责任，提高项目资金使用效益，对项目支出情况开展绩效评价，践行“花钱必问效、无效必问责”。</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通过项目资金的绩效评价，进一步了解和掌握项目实施的具体情况，评价其项目资金安排的科学性、合理性、规范性和资金使用成效，及时总结项目管理经验，完善项目管理办法，提高项目管理水平和资金额使用效益。</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（3）促使项目承担科室及项目分管领导，对绩效评价中发现的问题，认真整改，及时调整和完善单位的工作计划和绩效目标，提高管理水平，同时为项目后续资金投入、分配和管理提供决策依据。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w:t>
      </w:r>
      <w:r>
        <w:rPr>
          <w:rFonts w:hint="eastAsia" w:ascii="仿宋_GB2312" w:hAnsi="仿宋_GB2312" w:eastAsia="仿宋_GB2312" w:cs="仿宋_GB2312"/>
          <w:b w:val="0"/>
          <w:bCs w:val="0"/>
          <w:sz w:val="32"/>
          <w:szCs w:val="32"/>
          <w:lang w:val="en-US" w:eastAsia="zh-CN"/>
        </w:rPr>
        <w:t>冬春救助专项资金</w:t>
      </w:r>
      <w:r>
        <w:rPr>
          <w:rFonts w:hint="eastAsia" w:ascii="仿宋_GB2312" w:hAnsi="仿宋_GB2312" w:eastAsia="仿宋_GB2312" w:cs="仿宋_GB2312"/>
          <w:b w:val="0"/>
          <w:bCs w:val="0"/>
          <w:sz w:val="32"/>
          <w:szCs w:val="32"/>
        </w:rPr>
        <w:t>，202</w:t>
      </w: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t>年涉及资金</w:t>
      </w:r>
      <w:r>
        <w:rPr>
          <w:rFonts w:hint="eastAsia" w:ascii="仿宋_GB2312" w:hAnsi="仿宋_GB2312" w:eastAsia="仿宋_GB2312" w:cs="仿宋_GB2312"/>
          <w:b w:val="0"/>
          <w:bCs w:val="0"/>
          <w:sz w:val="32"/>
          <w:szCs w:val="32"/>
          <w:lang w:val="en-US" w:eastAsia="zh-CN"/>
        </w:rPr>
        <w:t>120</w:t>
      </w:r>
      <w:r>
        <w:rPr>
          <w:rFonts w:hint="eastAsia" w:ascii="仿宋_GB2312" w:hAnsi="仿宋_GB2312" w:eastAsia="仿宋_GB2312" w:cs="仿宋_GB2312"/>
          <w:b w:val="0"/>
          <w:bCs w:val="0"/>
          <w:sz w:val="32"/>
          <w:szCs w:val="32"/>
        </w:rPr>
        <w:t>万元</w:t>
      </w:r>
      <w:r>
        <w:rPr>
          <w:rFonts w:hint="eastAsia" w:ascii="仿宋_GB2312" w:hAnsi="仿宋_GB2312" w:eastAsia="仿宋_GB2312" w:cs="仿宋_GB2312"/>
          <w:b w:val="0"/>
          <w:bCs w:val="0"/>
          <w:sz w:val="32"/>
          <w:szCs w:val="32"/>
          <w:lang w:val="en-US" w:eastAsia="zh-CN"/>
        </w:rPr>
        <w:t>,2021年设计金额200万元</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lang w:val="en-US" w:eastAsia="zh-CN"/>
        </w:rPr>
        <w:t>共320万元，</w:t>
      </w:r>
      <w:r>
        <w:rPr>
          <w:rFonts w:hint="eastAsia" w:ascii="仿宋_GB2312" w:hAnsi="仿宋_GB2312" w:eastAsia="仿宋_GB2312" w:cs="仿宋_GB2312"/>
          <w:b w:val="0"/>
          <w:bCs w:val="0"/>
          <w:sz w:val="32"/>
          <w:szCs w:val="32"/>
        </w:rPr>
        <w:t>全部用于</w:t>
      </w:r>
      <w:r>
        <w:rPr>
          <w:rFonts w:hint="eastAsia" w:ascii="仿宋_GB2312" w:hAnsi="仿宋_GB2312" w:eastAsia="仿宋_GB2312" w:cs="仿宋_GB2312"/>
          <w:b w:val="0"/>
          <w:bCs w:val="0"/>
          <w:sz w:val="32"/>
          <w:szCs w:val="32"/>
          <w:lang w:val="en-US" w:eastAsia="zh-CN"/>
        </w:rPr>
        <w:t>冬春救助资金补助</w:t>
      </w:r>
      <w:r>
        <w:rPr>
          <w:rFonts w:hint="eastAsia" w:ascii="仿宋_GB2312" w:hAnsi="仿宋_GB2312" w:eastAsia="仿宋_GB2312" w:cs="仿宋_GB2312"/>
          <w:b w:val="0"/>
          <w:bCs w:val="0"/>
          <w:sz w:val="32"/>
          <w:szCs w:val="32"/>
        </w:rPr>
        <w:t>开支。</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（二）绩效评价原则、评价指标体系（付表说明）、评价方法、评价标准等。</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（1）科学公正。绩效评价应当运用科学合理的方法，按照规范的程序，对项目绩效进行客观、公正的反映。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（2）统筹兼顾。单位自评、部门评价和财政评价应职责明确，各有侧重，相互衔接。单位自评应由项目单位自助实施，即“谁支出、谁自评”。部门评价和财政评价应在单位自评的基础上开展。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（3）激励约束。绩效评价结果应与预算安排、政策调整、改进管理实质性挂钩，体现奖优罚劣和激励相容导向，有效要安排，低效要压减、无效要问责。</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（4）公开透明。绩效评价结果应依法依归公开，并自觉接受社会监督。</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（三）绩效评价过程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（1）成立绩效评价小组；</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（2）组织相关人员进行培训；</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（3）收集相关资料；</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（4）分析资料、汇总评价数据；</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（5）填写项目支出绩效单位自评表，撰写绩效自评报告。</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黑体" w:hAnsi="黑体" w:eastAsia="黑体" w:cs="黑体"/>
          <w:b w:val="0"/>
          <w:bCs w:val="0"/>
          <w:sz w:val="32"/>
          <w:szCs w:val="32"/>
          <w:lang w:val="en-US" w:eastAsia="zh-CN"/>
        </w:rPr>
        <w:t>三、综合评价及评价结论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800" w:firstLineChars="25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rPr>
        <w:t>项目总投资预算</w:t>
      </w:r>
      <w:r>
        <w:rPr>
          <w:rFonts w:hint="eastAsia" w:ascii="仿宋_GB2312" w:hAnsi="仿宋_GB2312" w:eastAsia="仿宋_GB2312" w:cs="仿宋_GB2312"/>
          <w:b w:val="0"/>
          <w:bCs w:val="0"/>
          <w:sz w:val="32"/>
          <w:szCs w:val="32"/>
          <w:lang w:val="en-US" w:eastAsia="zh-CN"/>
        </w:rPr>
        <w:t>320</w:t>
      </w:r>
      <w:r>
        <w:rPr>
          <w:rFonts w:hint="eastAsia" w:ascii="仿宋_GB2312" w:hAnsi="仿宋_GB2312" w:eastAsia="仿宋_GB2312" w:cs="仿宋_GB2312"/>
          <w:b w:val="0"/>
          <w:bCs w:val="0"/>
          <w:sz w:val="32"/>
          <w:szCs w:val="32"/>
        </w:rPr>
        <w:t>万元。其中</w:t>
      </w:r>
      <w:r>
        <w:rPr>
          <w:rFonts w:hint="eastAsia" w:ascii="仿宋_GB2312" w:hAnsi="仿宋_GB2312" w:eastAsia="仿宋_GB2312" w:cs="仿宋_GB2312"/>
          <w:b w:val="0"/>
          <w:bCs w:val="0"/>
          <w:sz w:val="32"/>
          <w:szCs w:val="32"/>
          <w:lang w:val="en-US" w:eastAsia="zh-CN"/>
        </w:rPr>
        <w:t>2021年200万元，2022年120万元，共320万元，全部资金用于受灾群众的冬春救助补助，占总预算的100%。2022年12月31日，该项目预算320万元资金，已拨付到位，决算支出320万元，预算执行率100%。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800" w:firstLineChars="25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rPr>
        <w:t>该项目目前已完成总体进度</w:t>
      </w:r>
      <w:r>
        <w:rPr>
          <w:rFonts w:hint="eastAsia" w:ascii="仿宋_GB2312" w:hAnsi="仿宋_GB2312" w:eastAsia="仿宋_GB2312" w:cs="仿宋_GB2312"/>
          <w:b w:val="0"/>
          <w:bCs w:val="0"/>
          <w:sz w:val="32"/>
          <w:szCs w:val="32"/>
          <w:lang w:val="en-US" w:eastAsia="zh-CN"/>
        </w:rPr>
        <w:t>100</w:t>
      </w:r>
      <w:r>
        <w:rPr>
          <w:rFonts w:hint="eastAsia" w:ascii="仿宋_GB2312" w:hAnsi="仿宋_GB2312" w:eastAsia="仿宋_GB2312" w:cs="仿宋_GB2312"/>
          <w:b w:val="0"/>
          <w:bCs w:val="0"/>
          <w:sz w:val="32"/>
          <w:szCs w:val="32"/>
        </w:rPr>
        <w:t>%，其中，完成了</w:t>
      </w:r>
      <w:r>
        <w:rPr>
          <w:rFonts w:hint="eastAsia" w:ascii="仿宋_GB2312" w:hAnsi="仿宋_GB2312" w:eastAsia="仿宋_GB2312" w:cs="仿宋_GB2312"/>
          <w:b w:val="0"/>
          <w:bCs w:val="0"/>
          <w:sz w:val="32"/>
          <w:szCs w:val="32"/>
          <w:lang w:val="en-US" w:eastAsia="zh-CN"/>
        </w:rPr>
        <w:t>受灾群众全覆盖补助。项目全部目标。完成率100%，项目验收合格率100%，受灾群众满意度95%。</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left"/>
        <w:textAlignment w:val="auto"/>
        <w:rPr>
          <w:rFonts w:hint="eastAsia" w:ascii="黑体" w:hAnsi="黑体" w:eastAsia="黑体" w:cs="黑体"/>
          <w:bCs/>
          <w:sz w:val="32"/>
          <w:szCs w:val="32"/>
        </w:rPr>
      </w:pPr>
      <w:r>
        <w:rPr>
          <w:rFonts w:hint="eastAsia" w:ascii="黑体" w:hAnsi="黑体" w:eastAsia="黑体" w:cs="黑体"/>
          <w:bCs/>
          <w:sz w:val="32"/>
          <w:szCs w:val="32"/>
          <w:lang w:val="en-US" w:eastAsia="zh-CN"/>
        </w:rPr>
        <w:t>四、</w:t>
      </w:r>
      <w:r>
        <w:rPr>
          <w:rFonts w:hint="eastAsia" w:ascii="黑体" w:hAnsi="黑体" w:eastAsia="黑体" w:cs="黑体"/>
          <w:bCs/>
          <w:sz w:val="32"/>
          <w:szCs w:val="32"/>
        </w:rPr>
        <w:t>绩效评价指标分析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（一）项目决策情况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2022年受灾群众冬春救助项目，新晃县应急管理局兑付2022年受灾群众冬春救助资金320万元，补贴197户，将上级补助资金及本地自然灾害救灾资金统筹使用，要按照不低于中央、省级补助给予补助。</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（二）项目产出过程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2022年受灾群众冬春救助资金，按照受灾自救能力分类救助，对冬春期间受灾群众口粮、衣被、取暖等困难给予补助，必须坚持“户报、村评、公示、乡审、县定”的申报审批步骤，并将救助资金全部纳入“一卡通”发放。</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（三）项目产出情况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2022年受灾群众冬春救助资金项目，覆盖了全县因灾生活困难的受灾群众，补贴到户197户，覆盖全县11个乡镇，提高了全县提高地方应对自然灾害的能力。</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黑体" w:hAnsi="黑体" w:eastAsia="黑体" w:cs="黑体"/>
          <w:b w:val="0"/>
          <w:bCs w:val="0"/>
          <w:sz w:val="32"/>
          <w:szCs w:val="32"/>
          <w:lang w:val="en-US" w:eastAsia="zh-CN"/>
        </w:rPr>
      </w:pPr>
      <w:r>
        <w:rPr>
          <w:rFonts w:hint="eastAsia" w:ascii="仿宋_GB2312" w:hAnsi="仿宋_GB2312" w:eastAsia="仿宋_GB2312" w:cs="仿宋_GB2312"/>
          <w:b w:val="0"/>
          <w:bCs w:val="0"/>
          <w:sz w:val="32"/>
          <w:szCs w:val="32"/>
          <w:lang w:val="en-US" w:eastAsia="zh-CN"/>
        </w:rPr>
        <w:t>（四）项目效益情况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2022年受灾群众冬春救助资金项目，保障了因灾生活困难的群众基本生活需求，极大程度上稳定了社会安定，安抚了受灾群众的情绪，提高了我县应对自然灾害灾后重建的保障能力。</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rPr>
          <w:rFonts w:hint="eastAsia" w:ascii="黑体" w:hAnsi="黑体" w:eastAsia="黑体" w:cs="黑体"/>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w:t>
      </w:r>
      <w:r>
        <w:rPr>
          <w:rFonts w:hint="eastAsia" w:ascii="黑体" w:hAnsi="黑体" w:eastAsia="黑体" w:cs="黑体"/>
          <w:b w:val="0"/>
          <w:bCs w:val="0"/>
          <w:sz w:val="32"/>
          <w:szCs w:val="32"/>
          <w:lang w:val="en-US" w:eastAsia="zh-CN"/>
        </w:rPr>
        <w:t xml:space="preserve"> 四、主要经验及做法、存在的问题及原因分析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我县地处亚热带季风地带，自然灾害频发，春夏易遭受洪涝灾害，秋冬多发旱灾，为综合提升应对自然灾害的能力，可科学合理的增加水利设施建设，减少因洪涝、旱情带来的经济损失。</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五、有关建议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黑体" w:hAnsi="黑体" w:eastAsia="黑体" w:cs="黑体"/>
          <w:b w:val="0"/>
          <w:bCs w:val="0"/>
          <w:sz w:val="32"/>
          <w:szCs w:val="32"/>
          <w:lang w:val="en-US" w:eastAsia="zh-CN"/>
        </w:rPr>
        <w:t>六、其他需要说明的问题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因自然灾害的突发性、不可遇见性，无法准确将受灾补助纳入预算内执行，故预算执行率上下浮动较大。</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b/>
          <w:color w:val="000000"/>
          <w:kern w:val="0"/>
          <w:sz w:val="32"/>
          <w:szCs w:val="32"/>
          <w:lang w:val="en-US" w:eastAsia="zh-CN"/>
        </w:rPr>
      </w:pPr>
      <w:r>
        <w:rPr>
          <w:rFonts w:hint="eastAsia" w:ascii="仿宋" w:hAnsi="仿宋" w:eastAsia="仿宋" w:cs="仿宋"/>
          <w:b/>
          <w:color w:val="000000"/>
          <w:kern w:val="0"/>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大标宋_GBK" w:hAnsi="方正大标宋_GBK" w:eastAsia="方正大标宋_GBK" w:cs="方正大标宋_GBK"/>
          <w:b w:val="0"/>
          <w:bCs w:val="0"/>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大标宋_GBK" w:hAnsi="方正大标宋_GBK" w:eastAsia="方正大标宋_GBK" w:cs="方正大标宋_GBK"/>
          <w:b w:val="0"/>
          <w:bCs w:val="0"/>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大标宋_GBK" w:hAnsi="方正大标宋_GBK" w:eastAsia="方正大标宋_GBK" w:cs="方正大标宋_GBK"/>
          <w:b w:val="0"/>
          <w:bCs w:val="0"/>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Theme="majorEastAsia" w:hAnsiTheme="majorEastAsia" w:eastAsiaTheme="majorEastAsia" w:cstheme="majorEastAsia"/>
          <w:b/>
          <w:bCs/>
          <w:sz w:val="44"/>
          <w:szCs w:val="44"/>
          <w:lang w:val="en-US" w:eastAsia="zh-CN"/>
        </w:rPr>
      </w:pPr>
      <w:r>
        <w:rPr>
          <w:rFonts w:hint="eastAsia" w:ascii="方正大标宋_GBK" w:hAnsi="方正大标宋_GBK" w:eastAsia="方正大标宋_GBK" w:cs="方正大标宋_GBK"/>
          <w:b w:val="0"/>
          <w:bCs w:val="0"/>
          <w:sz w:val="44"/>
          <w:szCs w:val="44"/>
          <w:lang w:val="en-US" w:eastAsia="zh-CN"/>
        </w:rPr>
        <w:t>2022年应急管理局第一期洪涝灾害      救助资金绩效评价报告</w:t>
      </w:r>
    </w:p>
    <w:p>
      <w:pPr>
        <w:numPr>
          <w:ilvl w:val="0"/>
          <w:numId w:val="0"/>
        </w:numPr>
        <w:ind w:firstLine="640" w:firstLineChars="200"/>
        <w:jc w:val="both"/>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一、基本情况</w:t>
      </w:r>
    </w:p>
    <w:p>
      <w:pPr>
        <w:numPr>
          <w:ilvl w:val="0"/>
          <w:numId w:val="0"/>
        </w:numPr>
        <w:ind w:firstLine="640" w:firstLineChars="200"/>
        <w:jc w:val="both"/>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（一）项目概况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2022年5月，我县遭受多轮强降雨影响，部分行政村及社区受到了严重洪涝灾害，农作物、农田、道路、水利设施、农房、学校、卫生室等遭受不同程度的损失，为有序恢复工农业生产、水利基础设施重建修复，前面做好受灾群众生活救助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（二）项目绩效目标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修复因灾受损道路、清理塌方路段，妥善安置受灾群众，提高地方应对自然灾害的能力，加强自然灾害防御，确保地区社会安定，保护人民群众生命财产安全。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二、绩效评价工作开展情况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 xml:space="preserve">    （一）</w:t>
      </w:r>
      <w:r>
        <w:rPr>
          <w:rFonts w:hint="eastAsia" w:ascii="仿宋_GB2312" w:hAnsi="仿宋_GB2312" w:eastAsia="仿宋_GB2312" w:cs="仿宋_GB2312"/>
          <w:b w:val="0"/>
          <w:bCs w:val="0"/>
          <w:sz w:val="32"/>
          <w:szCs w:val="32"/>
        </w:rPr>
        <w:t>绩效评价的目的、对象和范围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（1）严格执行《预算法》，强化支出责任，提高项目资金使用效益，对项目支出情况开展绩效评价，践行“花钱必问效、无效必问责”。</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通过项目资金的绩效评价，进一步了解和掌握项目实施的具体情况，评价其项目资金安排的科学性、合理性、规范性和资金使用成效，及时总结项目管理经验，完善项目管理办法，提高项目管理水平和资金额使用效益。</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（3）促使项目承担科室及项目分管领导，对绩效评价中发现的问题，认真整改，及时调整和完善单位的工作计划和绩效目标，提高管理水平，同时为项目后续资金投入、分配和管理提供决策依据。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w:t>
      </w:r>
      <w:r>
        <w:rPr>
          <w:rFonts w:hint="eastAsia" w:ascii="仿宋_GB2312" w:hAnsi="仿宋_GB2312" w:eastAsia="仿宋_GB2312" w:cs="仿宋_GB2312"/>
          <w:b w:val="0"/>
          <w:bCs w:val="0"/>
          <w:sz w:val="32"/>
          <w:szCs w:val="32"/>
          <w:lang w:val="en-US" w:eastAsia="zh-CN"/>
        </w:rPr>
        <w:t>第一期洪涝灾害救助资金</w:t>
      </w:r>
      <w:r>
        <w:rPr>
          <w:rFonts w:hint="eastAsia" w:ascii="仿宋_GB2312" w:hAnsi="仿宋_GB2312" w:eastAsia="仿宋_GB2312" w:cs="仿宋_GB2312"/>
          <w:b w:val="0"/>
          <w:bCs w:val="0"/>
          <w:sz w:val="32"/>
          <w:szCs w:val="32"/>
        </w:rPr>
        <w:t>，202</w:t>
      </w: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t>年涉及资金</w:t>
      </w:r>
      <w:r>
        <w:rPr>
          <w:rFonts w:hint="eastAsia" w:ascii="仿宋_GB2312" w:hAnsi="仿宋_GB2312" w:eastAsia="仿宋_GB2312" w:cs="仿宋_GB2312"/>
          <w:b w:val="0"/>
          <w:bCs w:val="0"/>
          <w:sz w:val="32"/>
          <w:szCs w:val="32"/>
          <w:lang w:val="en-US" w:eastAsia="zh-CN"/>
        </w:rPr>
        <w:t>20</w:t>
      </w:r>
      <w:r>
        <w:rPr>
          <w:rFonts w:hint="eastAsia" w:ascii="仿宋_GB2312" w:hAnsi="仿宋_GB2312" w:eastAsia="仿宋_GB2312" w:cs="仿宋_GB2312"/>
          <w:b w:val="0"/>
          <w:bCs w:val="0"/>
          <w:sz w:val="32"/>
          <w:szCs w:val="32"/>
        </w:rPr>
        <w:t>万元，全部用于</w:t>
      </w:r>
      <w:r>
        <w:rPr>
          <w:rFonts w:hint="eastAsia" w:ascii="仿宋_GB2312" w:hAnsi="仿宋_GB2312" w:eastAsia="仿宋_GB2312" w:cs="仿宋_GB2312"/>
          <w:b w:val="0"/>
          <w:bCs w:val="0"/>
          <w:sz w:val="32"/>
          <w:szCs w:val="32"/>
          <w:lang w:val="en-US" w:eastAsia="zh-CN"/>
        </w:rPr>
        <w:t>受灾道路清理塌方及受灾群众安置的</w:t>
      </w:r>
      <w:r>
        <w:rPr>
          <w:rFonts w:hint="eastAsia" w:ascii="仿宋_GB2312" w:hAnsi="仿宋_GB2312" w:eastAsia="仿宋_GB2312" w:cs="仿宋_GB2312"/>
          <w:b w:val="0"/>
          <w:bCs w:val="0"/>
          <w:sz w:val="32"/>
          <w:szCs w:val="32"/>
        </w:rPr>
        <w:t>开支。</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（二）绩效评价原则、评价指标体系（付表说明）、评价方法、评价标准等。</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（1）科学公正。绩效评价应当运用科学合理的方法，按照规范的程序，对项目绩效进行客观、公正的反映。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（2）统筹兼顾。单位自评、部门评价和财政评价应职责明确，各有侧重，相互衔接。单位自评应由项目单位自助实施，即“谁支出、谁自评”。部门评价和财政评价应在单位自评的基础上开展。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（3）激励约束。绩效评价结果应与预算安排、政策调整、改进管理实质性挂钩，体现奖优罚劣和激励相容导向，有效要安排，低效要压减、无效要问责。</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（4）公开透明。绩效评价结果应依法依归公开，并自觉接受社会监督。</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（三）绩效评价过程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（1）成立绩效评价小组；</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（2）组织相关人员进行培训；</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（3）收集相关资料；</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（4）分析资料、汇总评价数据；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（5）填写项目支出绩效单位自评表，撰写绩效自评报告。</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三、综合评价及评价结论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rPr>
        <w:t>项目总投资预算</w:t>
      </w:r>
      <w:r>
        <w:rPr>
          <w:rFonts w:hint="eastAsia" w:ascii="仿宋_GB2312" w:hAnsi="仿宋_GB2312" w:eastAsia="仿宋_GB2312" w:cs="仿宋_GB2312"/>
          <w:b w:val="0"/>
          <w:bCs w:val="0"/>
          <w:sz w:val="32"/>
          <w:szCs w:val="32"/>
          <w:lang w:val="en-US" w:eastAsia="zh-CN"/>
        </w:rPr>
        <w:t>20</w:t>
      </w:r>
      <w:r>
        <w:rPr>
          <w:rFonts w:hint="eastAsia" w:ascii="仿宋_GB2312" w:hAnsi="仿宋_GB2312" w:eastAsia="仿宋_GB2312" w:cs="仿宋_GB2312"/>
          <w:b w:val="0"/>
          <w:bCs w:val="0"/>
          <w:sz w:val="32"/>
          <w:szCs w:val="32"/>
        </w:rPr>
        <w:t>万元。其中</w:t>
      </w:r>
      <w:r>
        <w:rPr>
          <w:rFonts w:hint="eastAsia" w:ascii="仿宋_GB2312" w:hAnsi="仿宋_GB2312" w:eastAsia="仿宋_GB2312" w:cs="仿宋_GB2312"/>
          <w:b w:val="0"/>
          <w:bCs w:val="0"/>
          <w:sz w:val="32"/>
          <w:szCs w:val="32"/>
          <w:lang w:val="en-US" w:eastAsia="zh-CN"/>
        </w:rPr>
        <w:t>清理道路塌方20万元，占总预算的100%。2022年12月31日，该项目预算20万元资金，已拨付到位，决算支出20万元，预算执行率100%。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rPr>
        <w:t>该项目目前已完成总体进度</w:t>
      </w:r>
      <w:r>
        <w:rPr>
          <w:rFonts w:hint="eastAsia" w:ascii="仿宋_GB2312" w:hAnsi="仿宋_GB2312" w:eastAsia="仿宋_GB2312" w:cs="仿宋_GB2312"/>
          <w:b w:val="0"/>
          <w:bCs w:val="0"/>
          <w:sz w:val="32"/>
          <w:szCs w:val="32"/>
          <w:lang w:val="en-US" w:eastAsia="zh-CN"/>
        </w:rPr>
        <w:t>100</w:t>
      </w:r>
      <w:r>
        <w:rPr>
          <w:rFonts w:hint="eastAsia" w:ascii="仿宋_GB2312" w:hAnsi="仿宋_GB2312" w:eastAsia="仿宋_GB2312" w:cs="仿宋_GB2312"/>
          <w:b w:val="0"/>
          <w:bCs w:val="0"/>
          <w:sz w:val="32"/>
          <w:szCs w:val="32"/>
        </w:rPr>
        <w:t>%，其中，完成了</w:t>
      </w:r>
      <w:r>
        <w:rPr>
          <w:rFonts w:hint="eastAsia" w:ascii="仿宋_GB2312" w:hAnsi="仿宋_GB2312" w:eastAsia="仿宋_GB2312" w:cs="仿宋_GB2312"/>
          <w:b w:val="0"/>
          <w:bCs w:val="0"/>
          <w:sz w:val="32"/>
          <w:szCs w:val="32"/>
          <w:lang w:val="en-US" w:eastAsia="zh-CN"/>
        </w:rPr>
        <w:t>全县受灾道路塌方的清理、重建的建设。项目支出绩效目基本完成。完成率100%，项目验收合格率100%，修复道路合格率99%。</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黑体" w:hAnsi="黑体" w:eastAsia="黑体" w:cs="黑体"/>
          <w:b w:val="0"/>
          <w:bCs w:val="0"/>
          <w:sz w:val="32"/>
          <w:szCs w:val="32"/>
          <w:lang w:val="en-US" w:eastAsia="zh-CN"/>
        </w:rPr>
        <w:t>四、绩效评价指标分析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（一）项目决策情况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项目立项，根据《自然灾害救助条例》（国务院令第577号）的规定，通过实地走访的形式，统计本县境内受灾情况，上报上级单位备案，申报补助资金。</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（二）项目过程情况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因灾害救助的特殊性，各受灾乡镇先行垫资救灾，清理因灾塌方道路，后续资金拨付到位，根据受灾情况的严重程度分配救灾资金。</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（三）项目产出情况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洪涝灾害救助资金项目，主要用于因洪涝灾害塌方的道路清理，共覆盖全县11个乡镇，清理塌方路段13处，修复受损道路2条，保障了受灾群众的正常生活出行需求。</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（四）项目效益情况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洪涝灾害救助资金，帮助受灾群众重建家园，提高了地方应对自然灾害的能力，加强自然灾害防御，确保了地区社会安定，保护人民群众生命财产安全。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五、主要的经验及做法、存在的问题及原因分析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因自然灾害具有突发性的特点，无法准确预估受灾情况，应在平时加强自然灾害的预防能力，提高应对自然灾害的应对能力，加快救灾安置点的建设，合理利用地方应急救援力量，提升灾害救援的专业力量。</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六、有关建议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建议对受灾群众进行心理安抚，通过补助的形式，帮助受灾群众顺利度过困难时期，使我县灾后重建工作能事半功倍。</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七、其他需要说明的问题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因自然灾害的突发性、不可遇见性，无法准确将受灾补助纳入预算内执行，故预算执行率上下浮动较大。</w:t>
      </w:r>
    </w:p>
    <w:p>
      <w:pPr>
        <w:jc w:val="center"/>
        <w:rPr>
          <w:rFonts w:hint="eastAsia" w:ascii="仿宋" w:hAnsi="仿宋" w:eastAsia="仿宋" w:cs="仿宋"/>
          <w:b/>
          <w:color w:val="000000"/>
          <w:kern w:val="0"/>
          <w:sz w:val="32"/>
          <w:szCs w:val="32"/>
          <w:lang w:val="en-US" w:eastAsia="zh-CN"/>
        </w:rPr>
      </w:pPr>
    </w:p>
    <w:p>
      <w:pPr>
        <w:jc w:val="center"/>
        <w:rPr>
          <w:rFonts w:hint="eastAsia" w:ascii="仿宋" w:hAnsi="仿宋" w:eastAsia="仿宋" w:cs="仿宋"/>
          <w:b/>
          <w:color w:val="000000"/>
          <w:kern w:val="0"/>
          <w:sz w:val="32"/>
          <w:szCs w:val="32"/>
          <w:lang w:val="en-US" w:eastAsia="zh-CN"/>
        </w:rPr>
      </w:pPr>
    </w:p>
    <w:p>
      <w:pPr>
        <w:jc w:val="center"/>
        <w:rPr>
          <w:rFonts w:hint="eastAsia" w:ascii="仿宋" w:hAnsi="仿宋" w:eastAsia="仿宋" w:cs="仿宋"/>
          <w:b/>
          <w:color w:val="000000"/>
          <w:kern w:val="0"/>
          <w:sz w:val="32"/>
          <w:szCs w:val="32"/>
          <w:lang w:val="en-US" w:eastAsia="zh-CN"/>
        </w:rPr>
      </w:pPr>
    </w:p>
    <w:p>
      <w:pPr>
        <w:jc w:val="center"/>
        <w:rPr>
          <w:rFonts w:hint="eastAsia" w:ascii="仿宋" w:hAnsi="仿宋" w:eastAsia="仿宋" w:cs="仿宋"/>
          <w:b/>
          <w:color w:val="000000"/>
          <w:kern w:val="0"/>
          <w:sz w:val="32"/>
          <w:szCs w:val="32"/>
          <w:lang w:val="en-US" w:eastAsia="zh-CN"/>
        </w:rPr>
      </w:pPr>
    </w:p>
    <w:p>
      <w:pPr>
        <w:jc w:val="center"/>
        <w:rPr>
          <w:rFonts w:hint="eastAsia" w:ascii="仿宋" w:hAnsi="仿宋" w:eastAsia="仿宋" w:cs="仿宋"/>
          <w:b/>
          <w:color w:val="000000"/>
          <w:kern w:val="0"/>
          <w:sz w:val="32"/>
          <w:szCs w:val="32"/>
          <w:lang w:val="en-US" w:eastAsia="zh-CN"/>
        </w:rPr>
      </w:pPr>
    </w:p>
    <w:p>
      <w:pPr>
        <w:jc w:val="center"/>
        <w:rPr>
          <w:rFonts w:hint="eastAsia" w:ascii="仿宋" w:hAnsi="仿宋" w:eastAsia="仿宋" w:cs="仿宋"/>
          <w:b/>
          <w:color w:val="000000"/>
          <w:kern w:val="0"/>
          <w:sz w:val="32"/>
          <w:szCs w:val="32"/>
          <w:lang w:val="en-US" w:eastAsia="zh-CN"/>
        </w:rPr>
      </w:pPr>
    </w:p>
    <w:p>
      <w:pPr>
        <w:jc w:val="center"/>
        <w:rPr>
          <w:rFonts w:hint="eastAsia" w:ascii="仿宋" w:hAnsi="仿宋" w:eastAsia="仿宋" w:cs="仿宋"/>
          <w:b/>
          <w:color w:val="000000"/>
          <w:kern w:val="0"/>
          <w:sz w:val="32"/>
          <w:szCs w:val="32"/>
          <w:lang w:val="en-US" w:eastAsia="zh-CN"/>
        </w:rPr>
      </w:pPr>
    </w:p>
    <w:p>
      <w:pPr>
        <w:jc w:val="center"/>
        <w:rPr>
          <w:rFonts w:hint="eastAsia" w:ascii="仿宋" w:hAnsi="仿宋" w:eastAsia="仿宋" w:cs="仿宋"/>
          <w:b/>
          <w:color w:val="000000"/>
          <w:kern w:val="0"/>
          <w:sz w:val="32"/>
          <w:szCs w:val="32"/>
          <w:lang w:val="en-US" w:eastAsia="zh-CN"/>
        </w:rPr>
      </w:pPr>
    </w:p>
    <w:p>
      <w:pPr>
        <w:jc w:val="center"/>
        <w:rPr>
          <w:rFonts w:hint="eastAsia" w:ascii="仿宋" w:hAnsi="仿宋" w:eastAsia="仿宋" w:cs="仿宋"/>
          <w:b/>
          <w:color w:val="000000"/>
          <w:kern w:val="0"/>
          <w:sz w:val="32"/>
          <w:szCs w:val="32"/>
          <w:lang w:val="en-US" w:eastAsia="zh-CN"/>
        </w:rPr>
      </w:pPr>
    </w:p>
    <w:p>
      <w:pPr>
        <w:jc w:val="center"/>
        <w:rPr>
          <w:rFonts w:hint="eastAsia" w:ascii="仿宋" w:hAnsi="仿宋" w:eastAsia="仿宋" w:cs="仿宋"/>
          <w:b/>
          <w:color w:val="000000"/>
          <w:kern w:val="0"/>
          <w:sz w:val="32"/>
          <w:szCs w:val="32"/>
          <w:lang w:val="en-US" w:eastAsia="zh-CN"/>
        </w:rPr>
      </w:pPr>
    </w:p>
    <w:p>
      <w:pPr>
        <w:jc w:val="center"/>
        <w:rPr>
          <w:rFonts w:hint="eastAsia" w:ascii="宋体" w:hAnsi="宋体" w:eastAsia="宋体" w:cs="宋体"/>
          <w:b/>
          <w:bCs/>
          <w:sz w:val="44"/>
          <w:szCs w:val="44"/>
          <w:lang w:val="en-US" w:eastAsia="zh-CN"/>
        </w:rPr>
      </w:pPr>
      <w:r>
        <w:rPr>
          <w:rFonts w:hint="eastAsia" w:ascii="仿宋" w:hAnsi="仿宋" w:eastAsia="仿宋" w:cs="仿宋"/>
          <w:b/>
          <w:color w:val="000000"/>
          <w:kern w:val="0"/>
          <w:sz w:val="32"/>
          <w:szCs w:val="32"/>
          <w:lang w:val="en-US" w:eastAsia="zh-CN"/>
        </w:rPr>
        <w:t xml:space="preserve"> </w:t>
      </w:r>
      <w:r>
        <w:rPr>
          <w:rFonts w:hint="eastAsia" w:ascii="方正大标宋_GBK" w:hAnsi="方正大标宋_GBK" w:eastAsia="方正大标宋_GBK" w:cs="方正大标宋_GBK"/>
          <w:b w:val="0"/>
          <w:bCs w:val="0"/>
          <w:sz w:val="44"/>
          <w:szCs w:val="44"/>
          <w:lang w:val="en-US" w:eastAsia="zh-CN"/>
        </w:rPr>
        <w:t>2022年微型消防站项目支出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160" w:leftChars="0" w:firstLine="640" w:firstLineChars="200"/>
        <w:textAlignment w:val="auto"/>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一、基本情况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宋体" w:hAnsi="宋体" w:cs="宋体"/>
          <w:b w:val="0"/>
          <w:bCs/>
          <w:sz w:val="32"/>
          <w:szCs w:val="32"/>
          <w:lang w:val="en-US" w:eastAsia="zh-CN"/>
        </w:rPr>
      </w:pPr>
      <w:r>
        <w:rPr>
          <w:rFonts w:hint="eastAsia" w:ascii="楷体_GB2312" w:hAnsi="楷体_GB2312" w:eastAsia="楷体_GB2312" w:cs="楷体_GB2312"/>
          <w:b w:val="0"/>
          <w:bCs/>
          <w:sz w:val="32"/>
          <w:szCs w:val="32"/>
          <w:lang w:val="en-US" w:eastAsia="zh-CN"/>
        </w:rPr>
        <w:t>（一）项目概况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为加强我县消防安全基础管理工作，提升初期火灾自防自救能力，根据公安部印发的《消防安全重点单位微型消防站建设指导意见》的有关要求，并结合我县的实际情况，特开展此项目。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为积极引导和规范消防安全重点单位志愿消防队伍建设，推动落实单位主体责任，着力提高重点单位自查自纠、自防自救的能力，建设“有人员、有器材、有战斗力”的重点单位微型消防站，实现有效处置初起火灾的目标，申请开展此项目。截止2022年12月31日，全县微型消防站建设已全部完成，实现重点单位全覆盖建设，第一阶段总投资45万元，主要用于采购微型消防站的消防器材采购，现已支付30万元，预算执行率66.67%。</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b w:val="0"/>
          <w:bCs/>
          <w:sz w:val="32"/>
          <w:szCs w:val="32"/>
          <w:lang w:val="en-US" w:eastAsia="zh-CN"/>
        </w:rPr>
      </w:pPr>
      <w:r>
        <w:rPr>
          <w:rFonts w:hint="eastAsia" w:ascii="楷体_GB2312" w:hAnsi="楷体_GB2312" w:eastAsia="楷体_GB2312" w:cs="楷体_GB2312"/>
          <w:b w:val="0"/>
          <w:bCs/>
          <w:sz w:val="32"/>
          <w:szCs w:val="32"/>
          <w:lang w:val="en-US" w:eastAsia="zh-CN"/>
        </w:rPr>
        <w:t>（二）项目绩效目标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160" w:leftChars="0" w:firstLine="64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微型消防站建设项目总体目标，以救早、灭小和“3分钟到场”扑救初起火灾为目标，依托单位志愿消防队伍，配备必要的消防器材，建立火灾扑救防控工作。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160" w:leftChars="0" w:firstLine="64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现阶段目标是完成微型消防站消防器材的采购，消防器材全覆盖重点单位。微型消防站根据扑救初起火灾的需要，配备一定数量的灭火器、水枪、水带等灭火器材；配置外线电话、手持对讲机等通讯器材；有条件的站点可选配消防头盔、灭火防护服、防护靴、破拆工具等器材。现阶段绩效目标已完成。</w:t>
      </w:r>
    </w:p>
    <w:p>
      <w:pPr>
        <w:spacing w:line="560" w:lineRule="exact"/>
        <w:ind w:left="0" w:firstLine="640" w:firstLineChars="200"/>
        <w:jc w:val="left"/>
        <w:rPr>
          <w:rFonts w:hint="eastAsia" w:ascii="仿宋_GB2312" w:hAnsi="仿宋_GB2312" w:eastAsia="仿宋_GB2312" w:cs="仿宋_GB2312"/>
          <w:bCs/>
          <w:sz w:val="32"/>
          <w:szCs w:val="32"/>
        </w:rPr>
      </w:pPr>
      <w:r>
        <w:rPr>
          <w:rFonts w:hint="eastAsia" w:ascii="黑体" w:hAnsi="黑体" w:eastAsia="黑体" w:cs="黑体"/>
          <w:bCs/>
          <w:sz w:val="32"/>
          <w:szCs w:val="32"/>
        </w:rPr>
        <w:t>二、绩效评价工作开展情况</w:t>
      </w:r>
    </w:p>
    <w:p>
      <w:pPr>
        <w:numPr>
          <w:ilvl w:val="0"/>
          <w:numId w:val="0"/>
        </w:numPr>
        <w:jc w:val="both"/>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 xml:space="preserve">    （一）</w:t>
      </w:r>
      <w:r>
        <w:rPr>
          <w:rFonts w:hint="eastAsia" w:ascii="仿宋_GB2312" w:hAnsi="仿宋_GB2312" w:eastAsia="仿宋_GB2312" w:cs="仿宋_GB2312"/>
          <w:b w:val="0"/>
          <w:bCs w:val="0"/>
          <w:sz w:val="32"/>
          <w:szCs w:val="32"/>
        </w:rPr>
        <w:t>绩效评价的目的、对象和范围</w:t>
      </w:r>
    </w:p>
    <w:p>
      <w:pPr>
        <w:numPr>
          <w:ilvl w:val="0"/>
          <w:numId w:val="0"/>
        </w:numPr>
        <w:ind w:firstLine="640" w:firstLineChars="200"/>
        <w:jc w:val="both"/>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（1）严格执行《预算法》，强化支出责任，提高项目资金使用效益，对项目支出情况开展绩效评价，践行“花钱必问效、无效必问责”。</w:t>
      </w:r>
    </w:p>
    <w:p>
      <w:pPr>
        <w:numPr>
          <w:ilvl w:val="0"/>
          <w:numId w:val="0"/>
        </w:numPr>
        <w:ind w:firstLine="640" w:firstLineChars="200"/>
        <w:jc w:val="both"/>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通过项目资金的绩效评价，进一步了解和掌握项目实施的具体情况，评价其项目资金安排的科学性、合理性、规范性和资金使用成效，及时总结项目管理经验，完善项目管理办法，提高项目管理水平和资金额使用效益。</w:t>
      </w:r>
    </w:p>
    <w:p>
      <w:pPr>
        <w:numPr>
          <w:ilvl w:val="0"/>
          <w:numId w:val="0"/>
        </w:numPr>
        <w:ind w:firstLine="640" w:firstLineChars="200"/>
        <w:jc w:val="both"/>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（3）促使项目承担科室及项目分管领导，对绩效评价中发现的问题，认真整改，及时调整和完善单位的工作计划和绩效目标，提高管理水平，同时为项目后续资金投入、分配和管理提供决策依据。</w:t>
      </w:r>
    </w:p>
    <w:p>
      <w:pPr>
        <w:numPr>
          <w:ilvl w:val="0"/>
          <w:numId w:val="0"/>
        </w:numPr>
        <w:ind w:firstLine="640" w:firstLineChars="200"/>
        <w:jc w:val="both"/>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w:t>
      </w:r>
      <w:r>
        <w:rPr>
          <w:rFonts w:hint="eastAsia" w:ascii="仿宋_GB2312" w:hAnsi="仿宋_GB2312" w:eastAsia="仿宋_GB2312" w:cs="仿宋_GB2312"/>
          <w:b w:val="0"/>
          <w:bCs w:val="0"/>
          <w:sz w:val="32"/>
          <w:szCs w:val="32"/>
          <w:lang w:val="en-US" w:eastAsia="zh-CN"/>
        </w:rPr>
        <w:t>新晃县微型消防站</w:t>
      </w:r>
      <w:r>
        <w:rPr>
          <w:rFonts w:hint="eastAsia" w:ascii="仿宋_GB2312" w:hAnsi="仿宋_GB2312" w:eastAsia="仿宋_GB2312" w:cs="仿宋_GB2312"/>
          <w:b w:val="0"/>
          <w:bCs w:val="0"/>
          <w:sz w:val="32"/>
          <w:szCs w:val="32"/>
        </w:rPr>
        <w:t>项目，202</w:t>
      </w: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t>年涉及资金</w:t>
      </w:r>
      <w:r>
        <w:rPr>
          <w:rFonts w:hint="eastAsia" w:ascii="仿宋_GB2312" w:hAnsi="仿宋_GB2312" w:eastAsia="仿宋_GB2312" w:cs="仿宋_GB2312"/>
          <w:b w:val="0"/>
          <w:bCs w:val="0"/>
          <w:sz w:val="32"/>
          <w:szCs w:val="32"/>
          <w:lang w:val="en-US" w:eastAsia="zh-CN"/>
        </w:rPr>
        <w:t>30</w:t>
      </w:r>
      <w:r>
        <w:rPr>
          <w:rFonts w:hint="eastAsia" w:ascii="仿宋_GB2312" w:hAnsi="仿宋_GB2312" w:eastAsia="仿宋_GB2312" w:cs="仿宋_GB2312"/>
          <w:b w:val="0"/>
          <w:bCs w:val="0"/>
          <w:sz w:val="32"/>
          <w:szCs w:val="32"/>
        </w:rPr>
        <w:t>万元，全部用于应急医疗仓库建设工程项目开支。</w:t>
      </w:r>
    </w:p>
    <w:p>
      <w:pPr>
        <w:numPr>
          <w:ilvl w:val="0"/>
          <w:numId w:val="0"/>
        </w:numPr>
        <w:ind w:firstLine="640" w:firstLineChars="200"/>
        <w:jc w:val="both"/>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（二）绩效评价原则、评价指标体系（付表说明）、评价方法、评价标准等。</w:t>
      </w:r>
    </w:p>
    <w:p>
      <w:pPr>
        <w:numPr>
          <w:ilvl w:val="0"/>
          <w:numId w:val="0"/>
        </w:numPr>
        <w:ind w:firstLine="640" w:firstLineChars="200"/>
        <w:jc w:val="both"/>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（1）科学公正。绩效评价应当运用科学合理的方法，按照规范的程序，对项目绩效进行客观、公正的反映。</w:t>
      </w:r>
    </w:p>
    <w:p>
      <w:pPr>
        <w:numPr>
          <w:ilvl w:val="0"/>
          <w:numId w:val="0"/>
        </w:numPr>
        <w:ind w:firstLine="640" w:firstLineChars="200"/>
        <w:jc w:val="both"/>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（2）统筹兼顾。单位自评、部门评价和财政评价应职责明确，各有侧重，相互衔接。单位自评应由项目单位自助实施，即“谁支出、谁自评”。部门评价和财政评价应在单位自评的基础上开展。</w:t>
      </w:r>
    </w:p>
    <w:p>
      <w:pPr>
        <w:numPr>
          <w:ilvl w:val="0"/>
          <w:numId w:val="0"/>
        </w:numPr>
        <w:ind w:firstLine="640" w:firstLineChars="200"/>
        <w:jc w:val="both"/>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（3）激励约束。绩效评价结果应与预算安排、政策调整、改进管理实质性挂钩，体现奖优罚劣和激励相容导向，有效要安排，低效要压减、无效要问责。</w:t>
      </w:r>
    </w:p>
    <w:p>
      <w:pPr>
        <w:numPr>
          <w:ilvl w:val="0"/>
          <w:numId w:val="0"/>
        </w:numPr>
        <w:ind w:firstLine="640" w:firstLineChars="200"/>
        <w:jc w:val="both"/>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（4）公开透明。绩效评价结果应依法依归公开，并自觉接受社会监督。</w:t>
      </w:r>
    </w:p>
    <w:p>
      <w:pPr>
        <w:numPr>
          <w:ilvl w:val="0"/>
          <w:numId w:val="0"/>
        </w:numPr>
        <w:ind w:firstLine="640" w:firstLineChars="200"/>
        <w:jc w:val="both"/>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（三）绩效评价过程</w:t>
      </w:r>
    </w:p>
    <w:p>
      <w:pPr>
        <w:numPr>
          <w:ilvl w:val="0"/>
          <w:numId w:val="0"/>
        </w:numPr>
        <w:ind w:firstLine="640" w:firstLineChars="200"/>
        <w:jc w:val="both"/>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（1）成立绩效评价小组；</w:t>
      </w:r>
    </w:p>
    <w:p>
      <w:pPr>
        <w:numPr>
          <w:ilvl w:val="0"/>
          <w:numId w:val="0"/>
        </w:numPr>
        <w:ind w:firstLine="640" w:firstLineChars="200"/>
        <w:jc w:val="both"/>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（2）组织相关人员进行培训；</w:t>
      </w:r>
    </w:p>
    <w:p>
      <w:pPr>
        <w:numPr>
          <w:ilvl w:val="0"/>
          <w:numId w:val="0"/>
        </w:numPr>
        <w:ind w:firstLine="640" w:firstLineChars="200"/>
        <w:jc w:val="both"/>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（3）收集相关资料；</w:t>
      </w:r>
    </w:p>
    <w:p>
      <w:pPr>
        <w:numPr>
          <w:ilvl w:val="0"/>
          <w:numId w:val="0"/>
        </w:numPr>
        <w:ind w:firstLine="640" w:firstLineChars="200"/>
        <w:jc w:val="both"/>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（4）分析资料、汇总评价数据；</w:t>
      </w:r>
    </w:p>
    <w:p>
      <w:pPr>
        <w:ind w:firstLine="640" w:firstLineChars="200"/>
        <w:jc w:val="both"/>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（5）填写项目支出绩效单位自评表，撰写绩效自评报告。</w:t>
      </w:r>
    </w:p>
    <w:p>
      <w:pPr>
        <w:numPr>
          <w:ilvl w:val="0"/>
          <w:numId w:val="0"/>
        </w:numPr>
        <w:ind w:firstLine="640" w:firstLineChars="200"/>
        <w:jc w:val="both"/>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rPr>
        <w:t>三、</w:t>
      </w:r>
      <w:r>
        <w:rPr>
          <w:rFonts w:hint="eastAsia" w:ascii="黑体" w:hAnsi="黑体" w:eastAsia="黑体" w:cs="黑体"/>
          <w:b w:val="0"/>
          <w:bCs w:val="0"/>
          <w:sz w:val="32"/>
          <w:szCs w:val="32"/>
          <w:lang w:val="en-US" w:eastAsia="zh-CN"/>
        </w:rPr>
        <w:t>综合评价及评价结论</w:t>
      </w:r>
    </w:p>
    <w:p>
      <w:pPr>
        <w:numPr>
          <w:ilvl w:val="0"/>
          <w:numId w:val="0"/>
        </w:numPr>
        <w:ind w:firstLine="800" w:firstLineChars="25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rPr>
        <w:t>项目总投资预算</w:t>
      </w:r>
      <w:r>
        <w:rPr>
          <w:rFonts w:hint="eastAsia" w:ascii="仿宋_GB2312" w:hAnsi="仿宋_GB2312" w:eastAsia="仿宋_GB2312" w:cs="仿宋_GB2312"/>
          <w:b w:val="0"/>
          <w:bCs w:val="0"/>
          <w:sz w:val="32"/>
          <w:szCs w:val="32"/>
          <w:lang w:val="en-US" w:eastAsia="zh-CN"/>
        </w:rPr>
        <w:t>45</w:t>
      </w:r>
      <w:r>
        <w:rPr>
          <w:rFonts w:hint="eastAsia" w:ascii="仿宋_GB2312" w:hAnsi="仿宋_GB2312" w:eastAsia="仿宋_GB2312" w:cs="仿宋_GB2312"/>
          <w:b w:val="0"/>
          <w:bCs w:val="0"/>
          <w:sz w:val="32"/>
          <w:szCs w:val="32"/>
        </w:rPr>
        <w:t>万元。其中</w:t>
      </w:r>
      <w:r>
        <w:rPr>
          <w:rFonts w:hint="eastAsia" w:ascii="仿宋_GB2312" w:hAnsi="仿宋_GB2312" w:eastAsia="仿宋_GB2312" w:cs="仿宋_GB2312"/>
          <w:b w:val="0"/>
          <w:bCs w:val="0"/>
          <w:sz w:val="32"/>
          <w:szCs w:val="32"/>
          <w:lang w:val="en-US" w:eastAsia="zh-CN"/>
        </w:rPr>
        <w:t>消防设备采购45万元，占总预算的100%。2022年12月31日，该项目预算45万元资金，以拨付到位，决算支出30万元，预算执行率66.67%。</w:t>
      </w:r>
    </w:p>
    <w:p>
      <w:pPr>
        <w:numPr>
          <w:ilvl w:val="0"/>
          <w:numId w:val="0"/>
        </w:numPr>
        <w:ind w:firstLine="800" w:firstLineChars="25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rPr>
        <w:t>该项目目前已完成总体进度</w:t>
      </w:r>
      <w:r>
        <w:rPr>
          <w:rFonts w:hint="eastAsia" w:ascii="仿宋_GB2312" w:hAnsi="仿宋_GB2312" w:eastAsia="仿宋_GB2312" w:cs="仿宋_GB2312"/>
          <w:b w:val="0"/>
          <w:bCs w:val="0"/>
          <w:sz w:val="32"/>
          <w:szCs w:val="32"/>
          <w:lang w:val="en-US" w:eastAsia="zh-CN"/>
        </w:rPr>
        <w:t>100</w:t>
      </w:r>
      <w:r>
        <w:rPr>
          <w:rFonts w:hint="eastAsia" w:ascii="仿宋_GB2312" w:hAnsi="仿宋_GB2312" w:eastAsia="仿宋_GB2312" w:cs="仿宋_GB2312"/>
          <w:b w:val="0"/>
          <w:bCs w:val="0"/>
          <w:sz w:val="32"/>
          <w:szCs w:val="32"/>
        </w:rPr>
        <w:t>%，其中，完成了</w:t>
      </w:r>
      <w:r>
        <w:rPr>
          <w:rFonts w:hint="eastAsia" w:ascii="仿宋_GB2312" w:hAnsi="仿宋_GB2312" w:eastAsia="仿宋_GB2312" w:cs="仿宋_GB2312"/>
          <w:b w:val="0"/>
          <w:bCs w:val="0"/>
          <w:sz w:val="32"/>
          <w:szCs w:val="32"/>
          <w:lang w:val="en-US" w:eastAsia="zh-CN"/>
        </w:rPr>
        <w:t>全县重点单位的微型消防站的消防器材采购。项目完成第一阶段全部目标。完成率100%，项目验收合格率100%，器材质量合格率99%。</w:t>
      </w:r>
    </w:p>
    <w:p>
      <w:pPr>
        <w:numPr>
          <w:ilvl w:val="0"/>
          <w:numId w:val="0"/>
        </w:numPr>
        <w:spacing w:line="560" w:lineRule="exact"/>
        <w:ind w:firstLine="640" w:firstLineChars="200"/>
        <w:jc w:val="left"/>
        <w:rPr>
          <w:rFonts w:hint="eastAsia" w:ascii="仿宋_GB2312" w:hAnsi="仿宋_GB2312" w:eastAsia="仿宋_GB2312" w:cs="仿宋_GB2312"/>
          <w:bCs/>
          <w:sz w:val="32"/>
          <w:szCs w:val="32"/>
        </w:rPr>
      </w:pPr>
      <w:r>
        <w:rPr>
          <w:rFonts w:hint="eastAsia" w:ascii="黑体" w:hAnsi="黑体" w:eastAsia="黑体" w:cs="黑体"/>
          <w:bCs/>
          <w:sz w:val="32"/>
          <w:szCs w:val="32"/>
          <w:lang w:val="en-US" w:eastAsia="zh-CN"/>
        </w:rPr>
        <w:t>四、</w:t>
      </w:r>
      <w:r>
        <w:rPr>
          <w:rFonts w:hint="eastAsia" w:ascii="黑体" w:hAnsi="黑体" w:eastAsia="黑体" w:cs="黑体"/>
          <w:bCs/>
          <w:sz w:val="32"/>
          <w:szCs w:val="32"/>
        </w:rPr>
        <w:t>绩效评价指标分析</w:t>
      </w:r>
    </w:p>
    <w:p>
      <w:pPr>
        <w:numPr>
          <w:ilvl w:val="0"/>
          <w:numId w:val="0"/>
        </w:numPr>
        <w:spacing w:line="560" w:lineRule="exact"/>
        <w:ind w:left="480" w:leftChars="0" w:firstLine="640" w:firstLineChars="200"/>
        <w:jc w:val="left"/>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（一）项目决策情况</w:t>
      </w:r>
    </w:p>
    <w:p>
      <w:pPr>
        <w:numPr>
          <w:ilvl w:val="0"/>
          <w:numId w:val="0"/>
        </w:numPr>
        <w:spacing w:line="560" w:lineRule="exact"/>
        <w:ind w:left="480" w:leftChars="0" w:firstLine="640" w:firstLineChars="200"/>
        <w:jc w:val="left"/>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 xml:space="preserve"> 微型消防站项目，由县消防队负责实施，经过文件学习，研究全国微型消防站建设情况，结合我县实际情况，指定建设方案，由多部门综合提出意见方案，最终确定项目建设适合本县的建设方案。</w:t>
      </w:r>
    </w:p>
    <w:p>
      <w:pPr>
        <w:numPr>
          <w:ilvl w:val="0"/>
          <w:numId w:val="0"/>
        </w:numPr>
        <w:spacing w:line="560" w:lineRule="exact"/>
        <w:ind w:left="1260" w:leftChars="0"/>
        <w:jc w:val="left"/>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（二）项目过程情况</w:t>
      </w:r>
    </w:p>
    <w:p>
      <w:pPr>
        <w:numPr>
          <w:ilvl w:val="0"/>
          <w:numId w:val="0"/>
        </w:numPr>
        <w:spacing w:line="560" w:lineRule="exact"/>
        <w:ind w:left="480" w:leftChars="0"/>
        <w:jc w:val="left"/>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 xml:space="preserve">     项目第一阶段，主要是消防器材采购，由县消防队负责采购，通过政府网上采购形式进行采购，组织专人进行现场踩点，确保站点设置科学合理，成立采购小组，对采购消防器材的合格质量进行验收，确认专员对站点进行维护。</w:t>
      </w:r>
    </w:p>
    <w:p>
      <w:pPr>
        <w:numPr>
          <w:ilvl w:val="0"/>
          <w:numId w:val="0"/>
        </w:numPr>
        <w:spacing w:line="560" w:lineRule="exact"/>
        <w:ind w:left="1260" w:leftChars="0"/>
        <w:jc w:val="left"/>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（三）项目产出情况</w:t>
      </w:r>
    </w:p>
    <w:p>
      <w:pPr>
        <w:numPr>
          <w:ilvl w:val="0"/>
          <w:numId w:val="0"/>
        </w:numPr>
        <w:spacing w:line="560" w:lineRule="exact"/>
        <w:ind w:left="480" w:leftChars="0"/>
        <w:jc w:val="left"/>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 xml:space="preserve">      每个微型消防站，都配备一定数量的灭火器、水枪、水带等灭火器材；配置外线电话、手持对讲机等通讯器材；选配消防头盔、灭火防护服、防护靴、破拆工具等。</w:t>
      </w:r>
    </w:p>
    <w:p>
      <w:pPr>
        <w:numPr>
          <w:ilvl w:val="0"/>
          <w:numId w:val="0"/>
        </w:numPr>
        <w:spacing w:line="560" w:lineRule="exact"/>
        <w:ind w:left="1260" w:leftChars="0"/>
        <w:jc w:val="left"/>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（四）项目效益情况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160" w:leftChars="0" w:firstLine="64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Cs/>
          <w:sz w:val="32"/>
          <w:szCs w:val="32"/>
          <w:lang w:val="en-US" w:eastAsia="zh-CN"/>
        </w:rPr>
        <w:t xml:space="preserve">   </w:t>
      </w:r>
      <w:r>
        <w:rPr>
          <w:rFonts w:hint="eastAsia" w:ascii="仿宋_GB2312" w:hAnsi="仿宋_GB2312" w:eastAsia="仿宋_GB2312" w:cs="仿宋_GB2312"/>
          <w:b w:val="0"/>
          <w:bCs/>
          <w:sz w:val="32"/>
          <w:szCs w:val="32"/>
          <w:lang w:val="en-US" w:eastAsia="zh-CN"/>
        </w:rPr>
        <w:t>微型消防站建设项目总体目标，以救早、灭小和“3分钟到场”扑救初起火灾为目标，依托单位志愿消防队伍，配备必要的消防器材，建立火灾扑救防控工作。</w:t>
      </w:r>
    </w:p>
    <w:p>
      <w:pPr>
        <w:spacing w:line="560" w:lineRule="exact"/>
        <w:ind w:firstLine="640" w:firstLineChars="200"/>
        <w:jc w:val="left"/>
        <w:rPr>
          <w:rFonts w:hint="eastAsia" w:ascii="仿宋_GB2312" w:hAnsi="仿宋_GB2312" w:eastAsia="仿宋_GB2312" w:cs="仿宋_GB2312"/>
          <w:bCs/>
          <w:sz w:val="32"/>
          <w:szCs w:val="32"/>
        </w:rPr>
      </w:pPr>
      <w:r>
        <w:rPr>
          <w:rFonts w:hint="eastAsia" w:ascii="黑体" w:hAnsi="黑体" w:eastAsia="黑体" w:cs="黑体"/>
          <w:bCs/>
          <w:sz w:val="32"/>
          <w:szCs w:val="32"/>
        </w:rPr>
        <w:t>五、主要经验及做法、存在的问题及原因分析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rPr>
        <w:t>该</w:t>
      </w:r>
      <w:r>
        <w:rPr>
          <w:rFonts w:hint="eastAsia" w:ascii="仿宋_GB2312" w:hAnsi="仿宋_GB2312" w:eastAsia="仿宋_GB2312" w:cs="仿宋_GB2312"/>
          <w:b w:val="0"/>
          <w:bCs w:val="0"/>
          <w:sz w:val="32"/>
          <w:szCs w:val="32"/>
          <w:lang w:val="en-US" w:eastAsia="zh-CN"/>
        </w:rPr>
        <w:t>总体</w:t>
      </w:r>
      <w:r>
        <w:rPr>
          <w:rFonts w:hint="eastAsia" w:ascii="仿宋_GB2312" w:hAnsi="仿宋_GB2312" w:eastAsia="仿宋_GB2312" w:cs="仿宋_GB2312"/>
          <w:b w:val="0"/>
          <w:bCs w:val="0"/>
          <w:sz w:val="32"/>
          <w:szCs w:val="32"/>
        </w:rPr>
        <w:t>工程进度滞后，影响后续的工作任务开展，今后严格按照上级指示制定严格的工作计划，分阶段完成任务目标，稳步推进工程进度</w:t>
      </w:r>
      <w:r>
        <w:rPr>
          <w:rFonts w:hint="eastAsia" w:ascii="仿宋_GB2312" w:hAnsi="仿宋_GB2312" w:eastAsia="仿宋_GB2312" w:cs="仿宋_GB2312"/>
          <w:b w:val="0"/>
          <w:bCs w:val="0"/>
          <w:sz w:val="32"/>
          <w:szCs w:val="32"/>
          <w:lang w:eastAsia="zh-CN"/>
        </w:rPr>
        <w:t>。</w:t>
      </w:r>
    </w:p>
    <w:p>
      <w:pPr>
        <w:numPr>
          <w:ilvl w:val="0"/>
          <w:numId w:val="0"/>
        </w:numPr>
        <w:spacing w:line="560" w:lineRule="exact"/>
        <w:ind w:firstLine="640" w:firstLineChars="200"/>
        <w:jc w:val="left"/>
        <w:rPr>
          <w:rFonts w:hint="eastAsia" w:ascii="仿宋_GB2312" w:hAnsi="仿宋_GB2312" w:eastAsia="仿宋_GB2312" w:cs="仿宋_GB2312"/>
          <w:bCs/>
          <w:sz w:val="32"/>
          <w:szCs w:val="32"/>
        </w:rPr>
      </w:pPr>
      <w:r>
        <w:rPr>
          <w:rFonts w:hint="eastAsia" w:ascii="黑体" w:hAnsi="黑体" w:eastAsia="黑体" w:cs="黑体"/>
          <w:b w:val="0"/>
          <w:bCs/>
          <w:sz w:val="32"/>
          <w:szCs w:val="32"/>
          <w:lang w:val="en-US" w:eastAsia="zh-CN"/>
        </w:rPr>
        <w:t>六、</w:t>
      </w:r>
      <w:r>
        <w:rPr>
          <w:rFonts w:hint="eastAsia" w:ascii="黑体" w:hAnsi="黑体" w:eastAsia="黑体" w:cs="黑体"/>
          <w:b w:val="0"/>
          <w:bCs/>
          <w:sz w:val="32"/>
          <w:szCs w:val="32"/>
        </w:rPr>
        <w:t>有关建议</w:t>
      </w:r>
    </w:p>
    <w:p>
      <w:pPr>
        <w:numPr>
          <w:ilvl w:val="0"/>
          <w:numId w:val="0"/>
        </w:numPr>
        <w:spacing w:line="560" w:lineRule="exact"/>
        <w:ind w:leftChars="0" w:firstLine="640" w:firstLineChars="200"/>
        <w:jc w:val="left"/>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无</w:t>
      </w:r>
    </w:p>
    <w:p>
      <w:pPr>
        <w:spacing w:line="560" w:lineRule="exact"/>
        <w:ind w:left="0" w:firstLine="640" w:firstLineChars="200"/>
        <w:jc w:val="left"/>
        <w:rPr>
          <w:rFonts w:hint="eastAsia" w:ascii="仿宋_GB2312" w:hAnsi="仿宋_GB2312" w:eastAsia="仿宋_GB2312" w:cs="仿宋_GB2312"/>
          <w:bCs/>
          <w:sz w:val="32"/>
          <w:szCs w:val="32"/>
        </w:rPr>
      </w:pPr>
      <w:r>
        <w:rPr>
          <w:rFonts w:hint="eastAsia" w:ascii="黑体" w:hAnsi="黑体" w:eastAsia="黑体" w:cs="黑体"/>
          <w:bCs/>
          <w:sz w:val="32"/>
          <w:szCs w:val="32"/>
        </w:rPr>
        <w:t>七、其他需要说明的问题</w:t>
      </w:r>
    </w:p>
    <w:p>
      <w:pPr>
        <w:numPr>
          <w:ilvl w:val="0"/>
          <w:numId w:val="0"/>
        </w:numPr>
        <w:spacing w:line="560" w:lineRule="exact"/>
        <w:ind w:leftChars="0" w:firstLine="640"/>
        <w:jc w:val="left"/>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微型消防站项目支出，主要以消防器材采购为主，该项目已完成采购任务，还有15万元未支付。</w:t>
      </w:r>
    </w:p>
    <w:p>
      <w:pPr>
        <w:numPr>
          <w:ilvl w:val="0"/>
          <w:numId w:val="0"/>
        </w:numPr>
        <w:spacing w:line="560" w:lineRule="exact"/>
        <w:ind w:leftChars="0" w:firstLine="640"/>
        <w:jc w:val="left"/>
        <w:rPr>
          <w:rFonts w:hint="eastAsia" w:ascii="仿宋_GB2312" w:hAnsi="仿宋_GB2312" w:eastAsia="仿宋_GB2312" w:cs="仿宋_GB2312"/>
          <w:bCs/>
          <w:sz w:val="32"/>
          <w:szCs w:val="32"/>
          <w:lang w:val="en-US" w:eastAsia="zh-CN"/>
        </w:rPr>
      </w:pPr>
    </w:p>
    <w:p>
      <w:pPr>
        <w:autoSpaceDE w:val="0"/>
        <w:autoSpaceDN w:val="0"/>
        <w:adjustRightInd w:val="0"/>
        <w:ind w:firstLine="643" w:firstLineChars="200"/>
        <w:jc w:val="left"/>
        <w:rPr>
          <w:rFonts w:hint="default" w:ascii="仿宋" w:hAnsi="仿宋" w:eastAsia="仿宋" w:cs="仿宋"/>
          <w:b/>
          <w:color w:val="000000"/>
          <w:kern w:val="0"/>
          <w:sz w:val="32"/>
          <w:szCs w:val="32"/>
          <w:lang w:val="en-US" w:eastAsia="zh-CN"/>
        </w:rPr>
      </w:pPr>
      <w:r>
        <w:rPr>
          <w:rFonts w:hint="eastAsia" w:ascii="仿宋" w:hAnsi="仿宋" w:eastAsia="仿宋" w:cs="仿宋"/>
          <w:b/>
          <w:color w:val="000000"/>
          <w:kern w:val="0"/>
          <w:sz w:val="32"/>
          <w:szCs w:val="32"/>
          <w:lang w:val="en-US" w:eastAsia="zh-CN"/>
        </w:rPr>
        <w:t xml:space="preserve">   </w:t>
      </w:r>
    </w:p>
    <w:p>
      <w:pPr>
        <w:autoSpaceDE w:val="0"/>
        <w:autoSpaceDN w:val="0"/>
        <w:adjustRightInd w:val="0"/>
        <w:ind w:firstLine="643" w:firstLineChars="200"/>
        <w:jc w:val="left"/>
        <w:rPr>
          <w:rFonts w:hint="eastAsia" w:ascii="仿宋" w:hAnsi="仿宋" w:eastAsia="仿宋" w:cs="仿宋"/>
          <w:color w:val="000000"/>
          <w:kern w:val="0"/>
          <w:sz w:val="32"/>
          <w:szCs w:val="32"/>
        </w:rPr>
      </w:pPr>
      <w:r>
        <w:rPr>
          <w:rFonts w:hint="eastAsia" w:ascii="仿宋" w:hAnsi="仿宋" w:eastAsia="仿宋" w:cs="仿宋"/>
          <w:b/>
          <w:color w:val="000000"/>
          <w:kern w:val="0"/>
          <w:sz w:val="32"/>
          <w:szCs w:val="32"/>
        </w:rPr>
        <w:t>（3）部门评价项目绩效评价结果。</w:t>
      </w:r>
    </w:p>
    <w:p>
      <w:pPr>
        <w:autoSpaceDE w:val="0"/>
        <w:autoSpaceDN w:val="0"/>
        <w:adjustRightInd w:val="0"/>
        <w:ind w:firstLine="640" w:firstLineChars="200"/>
        <w:jc w:val="left"/>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部门评价项目数量</w:t>
      </w:r>
      <w:r>
        <w:rPr>
          <w:rFonts w:hint="eastAsia" w:ascii="仿宋" w:hAnsi="仿宋" w:eastAsia="仿宋" w:cs="仿宋"/>
          <w:color w:val="000000"/>
          <w:kern w:val="0"/>
          <w:sz w:val="32"/>
          <w:szCs w:val="32"/>
          <w:lang w:val="en-US" w:eastAsia="zh-CN"/>
        </w:rPr>
        <w:t>2</w:t>
      </w:r>
      <w:r>
        <w:rPr>
          <w:rFonts w:hint="eastAsia" w:ascii="仿宋" w:hAnsi="仿宋" w:eastAsia="仿宋" w:cs="仿宋"/>
          <w:color w:val="000000"/>
          <w:kern w:val="0"/>
          <w:sz w:val="32"/>
          <w:szCs w:val="32"/>
        </w:rPr>
        <w:t>个以内的，至少将1个部门评价报告向社会公开；部门评价项目数量大于3个的，至少将2 个部门评价报告向社会公开。报告框架可参考《项目支出绩效评价办法》（财预〔2020〕10 号）中《项目支出绩效评价报告（参考提纲）》、《湖南省预算支出绩效评价管理办法》（湘财绩〔2020〕7号）。</w:t>
      </w:r>
    </w:p>
    <w:p>
      <w:pPr>
        <w:rPr>
          <w:rFonts w:hint="eastAsia"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大标宋_GBK">
    <w:altName w:val="宋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BF308B"/>
    <w:multiLevelType w:val="singleLevel"/>
    <w:tmpl w:val="EBBF308B"/>
    <w:lvl w:ilvl="0" w:tentative="0">
      <w:start w:val="1"/>
      <w:numFmt w:val="chineseCounting"/>
      <w:suff w:val="nothing"/>
      <w:lvlText w:val="（%1）"/>
      <w:lvlJc w:val="left"/>
      <w:pPr>
        <w:ind w:left="-10"/>
      </w:pPr>
      <w:rPr>
        <w:rFonts w:hint="eastAsia"/>
      </w:rPr>
    </w:lvl>
  </w:abstractNum>
  <w:abstractNum w:abstractNumId="1">
    <w:nsid w:val="FEBFE318"/>
    <w:multiLevelType w:val="singleLevel"/>
    <w:tmpl w:val="FEBFE318"/>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5NWNhYTlhYTA4MjEwMDM0NGU5MzQwOGYxNzJiNjkifQ=="/>
  </w:docVars>
  <w:rsids>
    <w:rsidRoot w:val="3E3F289E"/>
    <w:rsid w:val="06B46509"/>
    <w:rsid w:val="0B70535D"/>
    <w:rsid w:val="0D8733A1"/>
    <w:rsid w:val="13B636DC"/>
    <w:rsid w:val="17EB24F1"/>
    <w:rsid w:val="1E867002"/>
    <w:rsid w:val="23C9787E"/>
    <w:rsid w:val="2F2C3498"/>
    <w:rsid w:val="3B846981"/>
    <w:rsid w:val="3E3F289E"/>
    <w:rsid w:val="431B7129"/>
    <w:rsid w:val="470E6A68"/>
    <w:rsid w:val="49C13B2D"/>
    <w:rsid w:val="5AF118D0"/>
    <w:rsid w:val="5CCD117E"/>
    <w:rsid w:val="5E95638B"/>
    <w:rsid w:val="613221E4"/>
    <w:rsid w:val="6FDE18F6"/>
    <w:rsid w:val="7349404D"/>
    <w:rsid w:val="7D2A4267"/>
    <w:rsid w:val="7F6A0C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table" w:styleId="4">
    <w:name w:val="Table Grid"/>
    <w:basedOn w:val="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6">
    <w:name w:val="List Paragraph"/>
    <w:basedOn w:val="1"/>
    <w:qFormat/>
    <w:uiPriority w:val="34"/>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3337</Words>
  <Characters>3520</Characters>
  <Lines>0</Lines>
  <Paragraphs>0</Paragraphs>
  <TotalTime>0</TotalTime>
  <ScaleCrop>false</ScaleCrop>
  <LinksUpToDate>false</LinksUpToDate>
  <CharactersWithSpaces>3609</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2022-09-02T01:33:00Z</dcterms:created>
  <dc:creator>WPS_1528160668</dc:creator>
  <cp:lastModifiedBy>Administrator</cp:lastModifiedBy>
  <dcterms:modified xsi:type="dcterms:W3CDTF">2023-11-13T05:27:09Z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1545AC36F9ED43A7A30458B633E40ABB</vt:lpwstr>
  </property>
</Properties>
</file>