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eastAsia="zh-CN"/>
        </w:rPr>
        <w:t>新晃县卫生健康局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rPr>
        <w:t>一、部门职责</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贯彻执行国民健康政策及国家卫生健康法律法规，贯彻执行湖南省卫生健康事业发展地方性法规和规章，组织实施全县卫生健康政策、规划、地方标准和技术规范。统筹规划全县卫生健康服务资源配置，指导区域卫生健康规划的编制和实施。制定并组织实施推进卫生健康基本公共服务均等化、普惠化、便捷化和公共资源向基层延伸等政策措施。</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2.协调推进全县深化医药卫生体制改革，研究提出全县深化医药卫生体制改革政策与措施的建议。组织深化公立医院综合改革，推进管办分离，健全现代医院管理制度，制定并组织实施推动卫生健康公共服务提供主体多元化、提供方式多样化的政策措施，提出医疗服务和药品价格政策的建议。</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3.制定并组织落实全县疾病预防控制规划、免疫规划以及严重危害人民健康公共卫生问题的干预措施。负责卫生应急工作，组织指导突发公共卫生事件的预防控制和各类突发公共事件的医疗卫生救援。承担传染病疫情信息发布工作。</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4.组织拟订并协调落实应对人口老龄化政策措施，推进老年健康服务体系建设和医养结合工作。</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5.贯彻执行国家药物政策和国家基本药物制度，开展药品使用监测、临床综合评价和短缺药品预警。组织开展食品安全风险监测评估，贯彻执行食品安全标准，负责食源性疾病及与食品安全事故有关的流行病学调查。</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6.负责职责范围内的职业卫生、放射卫生、环境卫生、学校卫生、公共场所卫生、饮用水卫生等公共卫生的监督管理。负责传染病防治监督，健全卫生健康综合监督体系。</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7.制定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8.负责计划生育管理和服务工作，开展人口监测预警，研究提出人口与家庭发展相关政策建议，完善计划生育政策。</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9.指导全县卫生健康工作，指导基层医疗卫生、妇幼健康服务体系建设，加强全科医生队伍建设。推进卫生健康科技创新发展。</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10.负责全县健康教育、健康促进和信息化建设等工作。组织实施卫生国际交流合作与援外工作，开展与港澳台的交流与合作。</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11.负责全县保健对象的医疗保健工作，负责重要来宾、重要会议与重大活动的医疗卫生保障工作,指导全县保健工作。</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12.指导县计划生育协会的业务工作。</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13.负责职责范围内卫生健康行业安全生产工作。</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14.完成县委、县政府交办的其他任务。</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15</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职能转变。县卫生健康局应当牢固树立大卫生、大健康理念，推动实施健康新晃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、整体支出绩效状况</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部门年度整体工作目标任务均已完成，部门整体支出自评得分97分,自评等次为“优”。</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财政资金支出实际效益如下：</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1.确保了全县基本公共卫生服务项目工作的顺利推进，全面完成了基本公共卫生服务工作，群众满意度90%。</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2.卫生院坚决执行零差率销售，让利于老百姓。实施基本药物制度真正让老百姓用好药，好用药。取得了较好成绩。</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3.武陵山片区农村卫生人才津贴的落实对农村卫生人才队伍的稳定和调动农村卫生人才积极性起到一定的作用。</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4.公立医院运行效率提高，呈现出“四升四降”的良好效果。人民群众满意度不断提升，便民惠民措施有效落实，推行“先诊疗，后付费”和“一站式”服务。</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5.民生资金通过财拨农村商业银行通过“一卡通”发放到位，计生服务对象及时、足额、准确地维护奖扶人员的合法权益。</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6.医疗废弃物处置均已达到国家相关法律规定要求，对我县的环保、公共卫生安全做出了巨大贡献。</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7.通过实施重大公共卫生服务项目，对影响妇女和儿童健康的主要卫生问题实施干预，减少主要健康危险因素，改善妇女、儿童健康状况，降低出生缺陷发生风险，提高人口素质。</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602" w:firstLineChars="200"/>
        <w:jc w:val="left"/>
        <w:textAlignment w:val="auto"/>
        <w:rPr>
          <w:rFonts w:hint="eastAsia" w:ascii="楷体" w:hAnsi="楷体" w:eastAsia="楷体" w:cs="楷体"/>
          <w:b/>
          <w:bCs/>
          <w:sz w:val="30"/>
          <w:szCs w:val="30"/>
          <w:lang w:val="en-US" w:eastAsia="zh-CN"/>
        </w:rPr>
      </w:pPr>
      <w:r>
        <w:rPr>
          <w:rFonts w:hint="eastAsia" w:ascii="楷体" w:hAnsi="楷体" w:eastAsia="楷体" w:cs="楷体"/>
          <w:b/>
          <w:bCs/>
          <w:sz w:val="30"/>
          <w:szCs w:val="30"/>
          <w:lang w:eastAsia="zh-CN"/>
        </w:rPr>
        <w:t>三</w:t>
      </w:r>
      <w:r>
        <w:rPr>
          <w:rFonts w:hint="eastAsia" w:ascii="楷体" w:hAnsi="楷体" w:eastAsia="楷体" w:cs="楷体"/>
          <w:b/>
          <w:bCs/>
          <w:sz w:val="30"/>
          <w:szCs w:val="30"/>
        </w:rPr>
        <w:t>、</w:t>
      </w:r>
      <w:r>
        <w:rPr>
          <w:rFonts w:hint="eastAsia" w:ascii="楷体" w:hAnsi="楷体" w:eastAsia="楷体" w:cs="楷体"/>
          <w:b/>
          <w:bCs/>
          <w:sz w:val="30"/>
          <w:szCs w:val="30"/>
          <w:lang w:val="en-US" w:eastAsia="zh-CN"/>
        </w:rPr>
        <w:t>财政收支和固定资产状况</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2022年度财政拨款收入8996.1万元，拨款支出8996.1万元。其中：一是基本支出，基本支出总额951.4万元，包括工资福利支出600.4万元，商品服务支出274.1万元，对个人和家庭补助支出69.4万元，其他资本性支出7.5万元；二是项目支出，在基本支出之外为完成其特定的行政工作任务而发生的支出，主要用于全县疫情防支出、人口和计划生育服务工作及项目资金下拨。支出总额8044.7万元，包括工资福利支出4061.8万元、商品和服务支出1108.5万元、对个人和家庭补助支出340.2万元、其他资本性支出3.18万元、下拨资金2534.3万元。</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我单位年末固定资产原值316.1万元，其中房屋209.7万元。年末固定资产净值141.3万元。</w:t>
      </w:r>
    </w:p>
    <w:p>
      <w:pPr>
        <w:pStyle w:val="4"/>
        <w:keepNext w:val="0"/>
        <w:keepLines w:val="0"/>
        <w:pageBreakBefore w:val="0"/>
        <w:widowControl w:val="0"/>
        <w:kinsoku/>
        <w:wordWrap/>
        <w:overflowPunct/>
        <w:topLinePunct w:val="0"/>
        <w:bidi w:val="0"/>
        <w:snapToGrid/>
        <w:spacing w:line="360" w:lineRule="auto"/>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四、</w:t>
      </w:r>
      <w:r>
        <w:rPr>
          <w:rFonts w:hint="eastAsia" w:ascii="楷体" w:hAnsi="楷体" w:eastAsia="楷体" w:cs="楷体"/>
          <w:b/>
          <w:bCs/>
          <w:sz w:val="30"/>
          <w:szCs w:val="30"/>
        </w:rPr>
        <w:t>存在的问题及原因分析</w:t>
      </w:r>
    </w:p>
    <w:p>
      <w:pPr>
        <w:keepNext w:val="0"/>
        <w:keepLines w:val="0"/>
        <w:pageBreakBefore w:val="0"/>
        <w:widowControl w:val="0"/>
        <w:kinsoku/>
        <w:wordWrap/>
        <w:overflowPunct/>
        <w:topLinePunct w:val="0"/>
        <w:autoSpaceDE w:val="0"/>
        <w:bidi w:val="0"/>
        <w:snapToGrid/>
        <w:spacing w:line="360" w:lineRule="auto"/>
        <w:ind w:firstLine="560" w:firstLineChars="200"/>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1.预算安排不够准确。部门一些费用明细项存在超支或节余问题，预算编制欠精准，导致费用调剂使用。预算执行力度有待提高。专项资金管理部门制定不出质量高、好操作的个性化指标。</w:t>
      </w:r>
    </w:p>
    <w:p>
      <w:pPr>
        <w:keepNext w:val="0"/>
        <w:keepLines w:val="0"/>
        <w:pageBreakBefore w:val="0"/>
        <w:widowControl w:val="0"/>
        <w:kinsoku/>
        <w:wordWrap/>
        <w:overflowPunct/>
        <w:topLinePunct w:val="0"/>
        <w:autoSpaceDE w:val="0"/>
        <w:bidi w:val="0"/>
        <w:snapToGrid/>
        <w:spacing w:line="360" w:lineRule="auto"/>
        <w:ind w:firstLine="560" w:firstLineChars="200"/>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2.专项资金未制定指向明确、可操作性的绩效目标。项目支出绩效自评工作不只是财务一个部门的职责，应该由分管项目相应股室来共同完成，这样可以有效提高预算资金的准确性和可控性。项目资金绩效评价应发给相应的业务股室，财务部门不清楚资金的具体用途和项目目的及绩效指标，专项资金绩效目标自评表应由分管项目的股室具体负责，而不是支付资金的财务部门负责。</w:t>
      </w:r>
    </w:p>
    <w:p>
      <w:pPr>
        <w:keepNext w:val="0"/>
        <w:keepLines w:val="0"/>
        <w:pageBreakBefore w:val="0"/>
        <w:widowControl w:val="0"/>
        <w:kinsoku/>
        <w:wordWrap/>
        <w:overflowPunct/>
        <w:topLinePunct w:val="0"/>
        <w:bidi w:val="0"/>
        <w:snapToGrid/>
        <w:spacing w:line="360" w:lineRule="auto"/>
        <w:ind w:left="0" w:firstLine="602" w:firstLineChars="200"/>
        <w:jc w:val="left"/>
        <w:rPr>
          <w:rFonts w:hint="eastAsia" w:ascii="楷体" w:hAnsi="楷体" w:eastAsia="楷体" w:cs="楷体"/>
          <w:b/>
          <w:bCs/>
          <w:color w:val="000000"/>
          <w:kern w:val="0"/>
          <w:sz w:val="30"/>
          <w:szCs w:val="30"/>
          <w:lang w:val="en-US" w:eastAsia="zh-CN" w:bidi="ar-SA"/>
        </w:rPr>
      </w:pPr>
      <w:r>
        <w:rPr>
          <w:rFonts w:hint="eastAsia" w:ascii="楷体" w:hAnsi="楷体" w:eastAsia="楷体" w:cs="楷体"/>
          <w:b/>
          <w:bCs/>
          <w:color w:val="000000"/>
          <w:kern w:val="0"/>
          <w:sz w:val="30"/>
          <w:szCs w:val="30"/>
          <w:lang w:val="en-US" w:eastAsia="zh-CN" w:bidi="ar-SA"/>
        </w:rPr>
        <w:t>五、提高财政资金绩效的措施与建议</w:t>
      </w:r>
    </w:p>
    <w:p>
      <w:pPr>
        <w:keepNext w:val="0"/>
        <w:keepLines w:val="0"/>
        <w:pageBreakBefore w:val="0"/>
        <w:widowControl w:val="0"/>
        <w:kinsoku/>
        <w:wordWrap/>
        <w:overflowPunct/>
        <w:topLinePunct w:val="0"/>
        <w:autoSpaceDE w:val="0"/>
        <w:bidi w:val="0"/>
        <w:snapToGrid/>
        <w:spacing w:line="360" w:lineRule="auto"/>
        <w:ind w:firstLine="560" w:firstLineChars="200"/>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要建立健全科学合理的绩效评价指标体</w:t>
      </w:r>
      <w:bookmarkStart w:id="0" w:name="_GoBack"/>
      <w:bookmarkEnd w:id="0"/>
      <w:r>
        <w:rPr>
          <w:rFonts w:hint="eastAsia" w:ascii="宋体" w:hAnsi="宋体" w:eastAsia="宋体" w:cs="宋体"/>
          <w:b w:val="0"/>
          <w:bCs w:val="0"/>
          <w:color w:val="000000"/>
          <w:kern w:val="0"/>
          <w:sz w:val="28"/>
          <w:szCs w:val="28"/>
          <w:lang w:val="en-US" w:eastAsia="zh-CN" w:bidi="ar-SA"/>
        </w:rPr>
        <w:t>系，进一步完善部门绩效评价的管理制度，科学编制预算，提高预算安排的准确性。认真研究解决部门一些费用明细项超支或节余、某些明细无预算有决算、或有预算无决算、费用调剂使用等系列问题，并制定质量高、好操作的部门专项资金管理的个性化指标。</w:t>
      </w:r>
    </w:p>
    <w:p>
      <w:pPr>
        <w:keepNext w:val="0"/>
        <w:keepLines w:val="0"/>
        <w:pageBreakBefore w:val="0"/>
        <w:widowControl w:val="0"/>
        <w:kinsoku/>
        <w:wordWrap/>
        <w:overflowPunct/>
        <w:topLinePunct w:val="0"/>
        <w:autoSpaceDE w:val="0"/>
        <w:bidi w:val="0"/>
        <w:snapToGrid/>
        <w:spacing w:line="360" w:lineRule="auto"/>
        <w:ind w:firstLine="560" w:firstLineChars="200"/>
        <w:rPr>
          <w:rFonts w:hint="eastAsia" w:ascii="宋体" w:hAnsi="宋体" w:eastAsia="宋体" w:cs="宋体"/>
          <w:b w:val="0"/>
          <w:bCs w:val="0"/>
          <w:color w:val="000000"/>
          <w:kern w:val="0"/>
          <w:sz w:val="28"/>
          <w:szCs w:val="28"/>
          <w:lang w:val="en-US" w:eastAsia="zh-CN" w:bidi="ar-SA"/>
        </w:rPr>
      </w:pPr>
    </w:p>
    <w:p>
      <w:pPr>
        <w:keepNext w:val="0"/>
        <w:keepLines w:val="0"/>
        <w:pageBreakBefore w:val="0"/>
        <w:widowControl w:val="0"/>
        <w:kinsoku/>
        <w:wordWrap/>
        <w:overflowPunct/>
        <w:topLinePunct w:val="0"/>
        <w:autoSpaceDE w:val="0"/>
        <w:bidi w:val="0"/>
        <w:snapToGrid/>
        <w:spacing w:line="360" w:lineRule="auto"/>
        <w:ind w:firstLine="560" w:firstLineChars="200"/>
        <w:rPr>
          <w:rFonts w:hint="eastAsia" w:ascii="宋体" w:hAnsi="宋体" w:eastAsia="宋体" w:cs="宋体"/>
          <w:b w:val="0"/>
          <w:bCs w:val="0"/>
          <w:color w:val="000000"/>
          <w:kern w:val="0"/>
          <w:sz w:val="28"/>
          <w:szCs w:val="28"/>
          <w:lang w:val="en-US" w:eastAsia="zh-CN" w:bidi="ar-SA"/>
        </w:rPr>
      </w:pPr>
    </w:p>
    <w:p>
      <w:pPr>
        <w:pStyle w:val="4"/>
        <w:keepNext w:val="0"/>
        <w:keepLines w:val="0"/>
        <w:pageBreakBefore w:val="0"/>
        <w:widowControl w:val="0"/>
        <w:kinsoku/>
        <w:wordWrap/>
        <w:overflowPunct/>
        <w:topLinePunct w:val="0"/>
        <w:bidi w:val="0"/>
        <w:snapToGrid/>
        <w:spacing w:line="360" w:lineRule="auto"/>
        <w:ind w:firstLine="600" w:firstLineChars="200"/>
        <w:jc w:val="left"/>
        <w:textAlignment w:val="auto"/>
        <w:rPr>
          <w:sz w:val="30"/>
          <w:szCs w:val="30"/>
        </w:rPr>
      </w:pPr>
    </w:p>
    <w:p>
      <w:pPr>
        <w:keepNext w:val="0"/>
        <w:keepLines w:val="0"/>
        <w:pageBreakBefore w:val="0"/>
        <w:widowControl w:val="0"/>
        <w:kinsoku/>
        <w:wordWrap/>
        <w:overflowPunct/>
        <w:topLinePunct w:val="0"/>
        <w:bidi w:val="0"/>
        <w:snapToGrid/>
        <w:spacing w:line="360" w:lineRule="auto"/>
        <w:ind w:firstLine="400" w:firstLineChars="20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4MTliNzRkODAxZTU3MGVlYmRiMDg1Mzg0OGFjZWYifQ=="/>
  </w:docVars>
  <w:rsids>
    <w:rsidRoot w:val="00000000"/>
    <w:rsid w:val="46B1640B"/>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269</Words>
  <Characters>273</Characters>
  <Lines>0</Lines>
  <Paragraphs>0</Paragraphs>
  <TotalTime>2</TotalTime>
  <ScaleCrop>false</ScaleCrop>
  <LinksUpToDate>false</LinksUpToDate>
  <CharactersWithSpaces>273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2023-11-07T08:15:43Z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289E654BBAAF47C3A8017915A47B107F_13</vt:lpwstr>
  </property>
</Properties>
</file>