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Autospacing="0" w:after="157" w:afterLines="50" w:afterAutospacing="0" w:line="560" w:lineRule="exact"/>
        <w:ind w:left="0"/>
        <w:jc w:val="left"/>
        <w:textAlignment w:val="bottom"/>
        <w:rPr>
          <w:rFonts w:hint="eastAsia" w:ascii="仿宋_GB2312" w:hAnsi="仿宋_GB2312" w:eastAsia="仿宋_GB2312" w:cs="仿宋_GB2312"/>
          <w:sz w:val="24"/>
        </w:rPr>
      </w:pPr>
      <w:r>
        <w:rPr>
          <w:rFonts w:hint="eastAsia" w:ascii="仿宋_GB2312" w:hAnsi="仿宋_GB2312" w:eastAsia="仿宋_GB2312" w:cs="仿宋_GB2312"/>
          <w:b/>
          <w:sz w:val="32"/>
          <w:szCs w:val="32"/>
        </w:rPr>
        <w:t>附件2-1</w:t>
      </w:r>
    </w:p>
    <w:p>
      <w:pPr>
        <w:keepNext w:val="0"/>
        <w:keepLines w:val="0"/>
        <w:pageBreakBefore w:val="0"/>
        <w:widowControl w:val="0"/>
        <w:kinsoku/>
        <w:wordWrap/>
        <w:overflowPunct/>
        <w:topLinePunct w:val="0"/>
        <w:autoSpaceDE/>
        <w:autoSpaceDN/>
        <w:bidi w:val="0"/>
        <w:adjustRightInd/>
        <w:snapToGrid/>
        <w:spacing w:line="440" w:lineRule="exact"/>
        <w:ind w:left="0"/>
        <w:jc w:val="center"/>
        <w:textAlignment w:val="bottom"/>
        <w:rPr>
          <w:rFonts w:ascii="黑体" w:hAnsi="黑体" w:eastAsia="黑体"/>
          <w:bCs/>
          <w:w w:val="85"/>
          <w:sz w:val="36"/>
          <w:szCs w:val="36"/>
        </w:rPr>
      </w:pPr>
      <w:r>
        <w:rPr>
          <w:rFonts w:ascii="黑体" w:hAnsi="黑体" w:eastAsia="黑体"/>
          <w:bCs/>
          <w:w w:val="85"/>
          <w:sz w:val="36"/>
          <w:szCs w:val="36"/>
        </w:rPr>
        <w:t>2022年度新晃县项目</w:t>
      </w:r>
      <w:r>
        <w:rPr>
          <w:rFonts w:hint="eastAsia" w:ascii="黑体" w:hAnsi="黑体" w:eastAsia="黑体"/>
          <w:bCs/>
          <w:w w:val="85"/>
          <w:sz w:val="36"/>
          <w:szCs w:val="36"/>
        </w:rPr>
        <w:t>支出</w:t>
      </w:r>
      <w:r>
        <w:rPr>
          <w:rFonts w:ascii="黑体" w:hAnsi="黑体" w:eastAsia="黑体"/>
          <w:bCs/>
          <w:w w:val="85"/>
          <w:sz w:val="36"/>
          <w:szCs w:val="36"/>
        </w:rPr>
        <w:t>绩效</w:t>
      </w:r>
      <w:r>
        <w:rPr>
          <w:rFonts w:hint="eastAsia" w:ascii="黑体" w:hAnsi="黑体" w:eastAsia="黑体"/>
          <w:bCs/>
          <w:w w:val="85"/>
          <w:sz w:val="36"/>
          <w:szCs w:val="36"/>
        </w:rPr>
        <w:t>自评</w:t>
      </w:r>
      <w:r>
        <w:rPr>
          <w:rFonts w:ascii="黑体" w:hAnsi="黑体" w:eastAsia="黑体"/>
          <w:bCs/>
          <w:w w:val="85"/>
          <w:sz w:val="36"/>
          <w:szCs w:val="36"/>
        </w:rPr>
        <w:t>表</w:t>
      </w:r>
    </w:p>
    <w:p>
      <w:pPr>
        <w:spacing w:before="156" w:beforeLines="50" w:line="240" w:lineRule="exact"/>
        <w:ind w:firstLine="482"/>
        <w:jc w:val="center"/>
        <w:rPr>
          <w:rFonts w:eastAsia="仿宋_GB2312"/>
          <w:szCs w:val="21"/>
        </w:rPr>
      </w:pPr>
      <w:r>
        <w:rPr>
          <w:sz w:val="24"/>
        </w:rPr>
        <w:t xml:space="preserve">                                                </w:t>
      </w:r>
      <w:r>
        <w:rPr>
          <w:rFonts w:hint="eastAsia"/>
          <w:sz w:val="24"/>
        </w:rPr>
        <w:t xml:space="preserve">    </w:t>
      </w:r>
      <w:r>
        <w:rPr>
          <w:sz w:val="24"/>
        </w:rPr>
        <w:t xml:space="preserve">  </w:t>
      </w:r>
      <w:r>
        <w:rPr>
          <w:rFonts w:eastAsia="仿宋_GB2312"/>
          <w:szCs w:val="21"/>
        </w:rPr>
        <w:t>金额单位：万元</w:t>
      </w:r>
    </w:p>
    <w:tbl>
      <w:tblPr>
        <w:tblStyle w:val="4"/>
        <w:tblpPr w:leftFromText="180" w:rightFromText="180" w:vertAnchor="text" w:horzAnchor="page" w:tblpX="1195" w:tblpY="107"/>
        <w:tblOverlap w:val="never"/>
        <w:tblW w:w="9888" w:type="dxa"/>
        <w:tblCellSpacing w:w="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312"/>
        <w:gridCol w:w="1143"/>
        <w:gridCol w:w="1800"/>
        <w:gridCol w:w="1413"/>
        <w:gridCol w:w="1312"/>
        <w:gridCol w:w="1206"/>
        <w:gridCol w:w="832"/>
        <w:gridCol w:w="87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项目单位</w:t>
            </w:r>
          </w:p>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名</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称</w:t>
            </w:r>
          </w:p>
        </w:tc>
        <w:tc>
          <w:tcPr>
            <w:tcW w:w="2943"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 xml:space="preserve">   新晃县卫生健康局</w:t>
            </w:r>
          </w:p>
        </w:tc>
        <w:tc>
          <w:tcPr>
            <w:tcW w:w="141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项目名称</w:t>
            </w:r>
          </w:p>
        </w:tc>
        <w:tc>
          <w:tcPr>
            <w:tcW w:w="4220" w:type="dxa"/>
            <w:gridSpan w:val="4"/>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村卫生室运行经费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目</w:t>
            </w:r>
          </w:p>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新晃县卫生健康局</w:t>
            </w:r>
          </w:p>
        </w:tc>
        <w:tc>
          <w:tcPr>
            <w:tcW w:w="141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邓俊卿</w:t>
            </w:r>
          </w:p>
        </w:tc>
        <w:tc>
          <w:tcPr>
            <w:tcW w:w="1206"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13517450508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项目资金</w:t>
            </w:r>
          </w:p>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41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518"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pPr>
              <w:spacing w:line="320" w:lineRule="exact"/>
              <w:jc w:val="center"/>
              <w:rPr>
                <w:rFonts w:hint="eastAsia" w:ascii="仿宋_GB2312" w:hAnsi="仿宋_GB2312" w:eastAsia="仿宋_GB2312" w:cs="仿宋_GB2312"/>
                <w:szCs w:val="21"/>
              </w:rPr>
            </w:pP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c>
          <w:tcPr>
            <w:tcW w:w="1800"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82.2</w:t>
            </w:r>
          </w:p>
        </w:tc>
        <w:tc>
          <w:tcPr>
            <w:tcW w:w="141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c>
          <w:tcPr>
            <w:tcW w:w="2518"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82.2</w:t>
            </w:r>
          </w:p>
        </w:tc>
        <w:tc>
          <w:tcPr>
            <w:tcW w:w="1702"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财政复</w:t>
            </w:r>
          </w:p>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评得分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本项目预算</w:t>
            </w:r>
            <w:r>
              <w:rPr>
                <w:rFonts w:hint="eastAsia" w:ascii="仿宋_GB2312" w:hAnsi="仿宋_GB2312" w:eastAsia="仿宋_GB2312" w:cs="仿宋_GB2312"/>
                <w:szCs w:val="21"/>
                <w:lang w:val="en-US" w:eastAsia="zh-CN"/>
              </w:rPr>
              <w:t>82.2万</w:t>
            </w:r>
            <w:r>
              <w:rPr>
                <w:rFonts w:hint="eastAsia" w:ascii="仿宋_GB2312" w:hAnsi="仿宋_GB2312" w:eastAsia="仿宋_GB2312" w:cs="仿宋_GB2312"/>
                <w:szCs w:val="21"/>
                <w:lang w:eastAsia="zh-CN"/>
              </w:rPr>
              <w:t>，全年支付</w:t>
            </w:r>
            <w:r>
              <w:rPr>
                <w:rFonts w:hint="eastAsia" w:ascii="仿宋_GB2312" w:hAnsi="仿宋_GB2312" w:eastAsia="仿宋_GB2312" w:cs="仿宋_GB2312"/>
                <w:szCs w:val="21"/>
                <w:lang w:val="en-US" w:eastAsia="zh-CN"/>
              </w:rPr>
              <w:t>82.2万，满足我县137个行政村卫生室需要</w:t>
            </w:r>
            <w:r>
              <w:rPr>
                <w:rFonts w:hint="eastAsia" w:ascii="仿宋_GB2312" w:hAnsi="仿宋_GB2312" w:eastAsia="仿宋_GB2312" w:cs="仿宋_GB2312"/>
                <w:szCs w:val="21"/>
              </w:rPr>
              <w:t>。</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本项目预算</w:t>
            </w:r>
            <w:r>
              <w:rPr>
                <w:rFonts w:hint="eastAsia" w:ascii="仿宋_GB2312" w:hAnsi="仿宋_GB2312" w:eastAsia="仿宋_GB2312" w:cs="仿宋_GB2312"/>
                <w:szCs w:val="21"/>
                <w:lang w:val="en-US" w:eastAsia="zh-CN"/>
              </w:rPr>
              <w:t>82.2万</w:t>
            </w:r>
            <w:r>
              <w:rPr>
                <w:rFonts w:hint="eastAsia" w:ascii="仿宋_GB2312" w:hAnsi="仿宋_GB2312" w:eastAsia="仿宋_GB2312" w:cs="仿宋_GB2312"/>
                <w:szCs w:val="21"/>
                <w:lang w:eastAsia="zh-CN"/>
              </w:rPr>
              <w:t>，全年支付</w:t>
            </w:r>
            <w:r>
              <w:rPr>
                <w:rFonts w:hint="eastAsia" w:ascii="仿宋_GB2312" w:hAnsi="仿宋_GB2312" w:eastAsia="仿宋_GB2312" w:cs="仿宋_GB2312"/>
                <w:szCs w:val="21"/>
                <w:lang w:val="en-US" w:eastAsia="zh-CN"/>
              </w:rPr>
              <w:t>82.2万</w:t>
            </w:r>
            <w:r>
              <w:rPr>
                <w:rFonts w:hint="eastAsia" w:ascii="仿宋_GB2312" w:hAnsi="仿宋_GB2312" w:eastAsia="仿宋_GB2312" w:cs="仿宋_GB2312"/>
                <w:szCs w:val="21"/>
              </w:rPr>
              <w:t>。</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项目组织</w:t>
            </w:r>
          </w:p>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管理水平</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本项目建立了</w:t>
            </w:r>
            <w:r>
              <w:rPr>
                <w:rFonts w:hint="eastAsia" w:ascii="仿宋_GB2312" w:hAnsi="仿宋_GB2312" w:eastAsia="仿宋_GB2312" w:cs="仿宋_GB2312"/>
                <w:szCs w:val="21"/>
                <w:lang w:eastAsia="zh-CN"/>
              </w:rPr>
              <w:t>“村卫生室运行经费</w:t>
            </w:r>
            <w:r>
              <w:rPr>
                <w:rFonts w:hint="eastAsia" w:ascii="仿宋_GB2312" w:hAnsi="仿宋_GB2312" w:eastAsia="仿宋_GB2312" w:cs="仿宋_GB2312"/>
                <w:szCs w:val="21"/>
              </w:rPr>
              <w:t>项目</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管理制度，并严格按相关制度执行。</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资金支出</w:t>
            </w:r>
          </w:p>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全年支付</w:t>
            </w:r>
            <w:r>
              <w:rPr>
                <w:rFonts w:hint="eastAsia" w:ascii="仿宋_GB2312" w:hAnsi="仿宋_GB2312" w:eastAsia="仿宋_GB2312" w:cs="仿宋_GB2312"/>
                <w:szCs w:val="21"/>
                <w:lang w:val="en-US" w:eastAsia="zh-CN"/>
              </w:rPr>
              <w:t>82.2万，满足我县137个行政村卫生室需要</w:t>
            </w:r>
            <w:r>
              <w:rPr>
                <w:rFonts w:hint="eastAsia" w:ascii="仿宋_GB2312" w:hAnsi="仿宋_GB2312" w:eastAsia="仿宋_GB2312" w:cs="仿宋_GB2312"/>
                <w:szCs w:val="21"/>
              </w:rPr>
              <w:t>。</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本项目经费使用提高了我县农村地区群众的就医环境、提高了底层村卫生室村医的工作环境</w:t>
            </w:r>
            <w:r>
              <w:rPr>
                <w:rFonts w:hint="eastAsia" w:ascii="仿宋_GB2312" w:hAnsi="仿宋_GB2312" w:eastAsia="仿宋_GB2312" w:cs="仿宋_GB2312"/>
                <w:szCs w:val="21"/>
              </w:rPr>
              <w:t>。</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经过对抽样村卫生室周边群众满意度调查</w:t>
            </w:r>
            <w:r>
              <w:rPr>
                <w:rFonts w:hint="eastAsia" w:ascii="仿宋_GB2312" w:hAnsi="仿宋_GB2312" w:eastAsia="仿宋_GB2312" w:cs="仿宋_GB2312"/>
                <w:szCs w:val="21"/>
              </w:rPr>
              <w:t>：90%≤满意度≤100%记10分，80%≤满意度&lt;90%记8分，70%≤满意度&lt;80%   记6分，60%≤满意度&lt;70%记4分，满意度&lt;60%记0分。</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无</w:t>
            </w:r>
          </w:p>
        </w:tc>
        <w:tc>
          <w:tcPr>
            <w:tcW w:w="83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3"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c>
          <w:tcPr>
            <w:tcW w:w="7433" w:type="dxa"/>
            <w:gridSpan w:val="6"/>
            <w:noWrap w:val="0"/>
            <w:tcMar>
              <w:top w:w="0" w:type="dxa"/>
              <w:left w:w="105" w:type="dxa"/>
              <w:bottom w:w="0" w:type="dxa"/>
              <w:right w:w="105" w:type="dxa"/>
            </w:tcMar>
            <w:vAlign w:val="center"/>
          </w:tcPr>
          <w:p>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优秀  90分≤得分≤100分；   </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 xml:space="preserve">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 xml:space="preserve">分；  </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 xml:space="preserve"> </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 xml:space="preserve"> □ 差   得分＜60分</w:t>
            </w:r>
          </w:p>
        </w:tc>
      </w:tr>
    </w:tbl>
    <w:p>
      <w:pPr>
        <w:spacing w:line="320" w:lineRule="exact"/>
        <w:ind w:left="0"/>
        <w:jc w:val="left"/>
        <w:rPr>
          <w:rFonts w:ascii="华文中宋" w:hAnsi="华文中宋" w:eastAsia="华文中宋"/>
          <w:sz w:val="8"/>
          <w:szCs w:val="10"/>
        </w:rPr>
      </w:pPr>
    </w:p>
    <w:p>
      <w:pPr>
        <w:spacing w:line="320" w:lineRule="exact"/>
        <w:ind w:left="0"/>
        <w:jc w:val="left"/>
        <w:rPr>
          <w:rFonts w:hint="eastAsia" w:ascii="仿宋_GB2312" w:hAnsi="仿宋_GB2312" w:eastAsia="仿宋_GB2312" w:cs="仿宋_GB2312"/>
          <w:szCs w:val="21"/>
        </w:rPr>
      </w:pPr>
      <w:r>
        <w:rPr>
          <w:rFonts w:hint="eastAsia" w:ascii="仿宋_GB2312" w:hAnsi="仿宋_GB2312" w:eastAsia="仿宋_GB2312" w:cs="仿宋_GB2312"/>
          <w:szCs w:val="21"/>
        </w:rPr>
        <w:t>单位负责人（签字）：</w:t>
      </w:r>
      <w:r>
        <w:rPr>
          <w:rFonts w:hint="eastAsia" w:ascii="仿宋_GB2312" w:hAnsi="仿宋_GB2312" w:eastAsia="仿宋_GB2312" w:cs="仿宋_GB2312"/>
          <w:szCs w:val="21"/>
          <w:lang w:eastAsia="zh-CN"/>
        </w:rPr>
        <w:t>吴海明</w:t>
      </w:r>
      <w:r>
        <w:rPr>
          <w:rFonts w:hint="eastAsia" w:ascii="仿宋_GB2312" w:hAnsi="仿宋_GB2312" w:eastAsia="仿宋_GB2312" w:cs="仿宋_GB2312"/>
          <w:szCs w:val="21"/>
        </w:rPr>
        <w:t xml:space="preserve">     项目负责人（签字）：</w:t>
      </w:r>
      <w:r>
        <w:rPr>
          <w:rFonts w:hint="eastAsia" w:ascii="仿宋_GB2312" w:hAnsi="仿宋_GB2312" w:eastAsia="仿宋_GB2312" w:cs="仿宋_GB2312"/>
          <w:szCs w:val="21"/>
          <w:lang w:eastAsia="zh-CN"/>
        </w:rPr>
        <w:t>邓俊卿</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填表日期：</w:t>
      </w:r>
      <w:r>
        <w:rPr>
          <w:rFonts w:hint="eastAsia" w:ascii="仿宋_GB2312" w:hAnsi="仿宋_GB2312" w:eastAsia="仿宋_GB2312" w:cs="仿宋_GB2312"/>
          <w:szCs w:val="21"/>
          <w:lang w:val="en-US" w:eastAsia="zh-CN"/>
        </w:rPr>
        <w:t>2023</w:t>
      </w:r>
      <w:r>
        <w:rPr>
          <w:rFonts w:hint="eastAsia" w:ascii="仿宋_GB2312" w:hAnsi="仿宋_GB2312" w:eastAsia="仿宋_GB2312" w:cs="仿宋_GB2312"/>
          <w:szCs w:val="21"/>
        </w:rPr>
        <w:t>年</w:t>
      </w:r>
      <w:r>
        <w:rPr>
          <w:rFonts w:hint="eastAsia" w:ascii="仿宋_GB2312" w:hAnsi="仿宋_GB2312" w:eastAsia="仿宋_GB2312" w:cs="仿宋_GB2312"/>
          <w:szCs w:val="21"/>
          <w:lang w:val="en-US" w:eastAsia="zh-CN"/>
        </w:rPr>
        <w:t>5</w:t>
      </w:r>
      <w:r>
        <w:rPr>
          <w:rFonts w:hint="eastAsia" w:ascii="仿宋_GB2312" w:hAnsi="仿宋_GB2312" w:eastAsia="仿宋_GB2312" w:cs="仿宋_GB2312"/>
          <w:szCs w:val="21"/>
        </w:rPr>
        <w:t>月</w:t>
      </w:r>
      <w:r>
        <w:rPr>
          <w:rFonts w:hint="eastAsia" w:ascii="仿宋_GB2312" w:hAnsi="仿宋_GB2312" w:eastAsia="仿宋_GB2312" w:cs="仿宋_GB2312"/>
          <w:szCs w:val="21"/>
          <w:lang w:val="en-US" w:eastAsia="zh-CN"/>
        </w:rPr>
        <w:t>12</w:t>
      </w:r>
      <w:r>
        <w:rPr>
          <w:rFonts w:hint="eastAsia" w:ascii="仿宋_GB2312" w:hAnsi="仿宋_GB2312" w:eastAsia="仿宋_GB2312" w:cs="仿宋_GB2312"/>
          <w:szCs w:val="21"/>
        </w:rPr>
        <w:t>日</w:t>
      </w:r>
    </w:p>
    <w:p>
      <w:pPr>
        <w:spacing w:before="240" w:line="340" w:lineRule="exact"/>
        <w:jc w:val="left"/>
        <w:rPr>
          <w:rFonts w:hint="eastAsia" w:ascii="仿宋_GB2312" w:eastAsia="仿宋_GB2312"/>
          <w:b/>
          <w:sz w:val="32"/>
          <w:szCs w:val="32"/>
        </w:rPr>
      </w:pPr>
      <w:r>
        <w:rPr>
          <w:rFonts w:hint="eastAsia" w:ascii="仿宋_GB2312" w:hAnsi="仿宋_GB2312" w:eastAsia="仿宋_GB2312" w:cs="仿宋_GB2312"/>
          <w:szCs w:val="21"/>
        </w:rPr>
        <w:br w:type="page"/>
      </w:r>
      <w:r>
        <w:rPr>
          <w:rFonts w:hint="eastAsia" w:ascii="仿宋_GB2312" w:hAnsi="仿宋_GB2312" w:eastAsia="仿宋_GB2312" w:cs="仿宋_GB2312"/>
          <w:b/>
          <w:sz w:val="32"/>
          <w:szCs w:val="32"/>
        </w:rPr>
        <w:t>附件2-3 </w:t>
      </w:r>
    </w:p>
    <w:p>
      <w:pPr>
        <w:spacing w:line="560" w:lineRule="exact"/>
        <w:jc w:val="center"/>
        <w:rPr>
          <w:rFonts w:hint="eastAsia" w:ascii="仿宋_GB2312" w:hAnsi="Times New Roman" w:eastAsia="仿宋_GB2312" w:cs="Times New Roman"/>
          <w:b/>
          <w:bCs/>
          <w:sz w:val="44"/>
          <w:szCs w:val="44"/>
          <w:lang w:val="en-US" w:eastAsia="zh-CN"/>
        </w:rPr>
      </w:pPr>
      <w:r>
        <w:rPr>
          <w:rFonts w:hint="eastAsia" w:ascii="仿宋_GB2312" w:hAnsi="Times New Roman" w:eastAsia="仿宋_GB2312" w:cs="Times New Roman"/>
          <w:b/>
          <w:bCs/>
          <w:sz w:val="44"/>
          <w:szCs w:val="44"/>
          <w:lang w:val="en-US" w:eastAsia="zh-CN"/>
        </w:rPr>
        <w:t>2022年度新晃县项目支出绩效自评报告</w:t>
      </w:r>
    </w:p>
    <w:p>
      <w:pPr>
        <w:spacing w:line="560" w:lineRule="exact"/>
        <w:jc w:val="center"/>
        <w:rPr>
          <w:rFonts w:hint="eastAsia" w:ascii="仿宋_GB2312" w:hAnsi="Times New Roman" w:eastAsia="仿宋_GB2312" w:cs="Times New Roman"/>
          <w:b/>
          <w:bCs/>
          <w:sz w:val="44"/>
          <w:szCs w:val="44"/>
          <w:lang w:val="en-US" w:eastAsia="zh-CN"/>
        </w:rPr>
      </w:pPr>
      <w:r>
        <w:rPr>
          <w:rFonts w:hint="eastAsia" w:ascii="仿宋_GB2312" w:hAnsi="Times New Roman" w:eastAsia="仿宋_GB2312" w:cs="Times New Roman"/>
          <w:b/>
          <w:bCs/>
          <w:sz w:val="44"/>
          <w:szCs w:val="44"/>
          <w:lang w:val="en-US" w:eastAsia="zh-CN"/>
        </w:rPr>
        <w:t>（村卫生室运行经费项目）</w:t>
      </w:r>
    </w:p>
    <w:p>
      <w:pPr>
        <w:spacing w:line="560" w:lineRule="exact"/>
        <w:ind w:firstLine="640" w:firstLineChars="200"/>
        <w:rPr>
          <w:rFonts w:hint="eastAsia" w:ascii="仿宋_GB2312" w:hAnsi="Times New Roman" w:eastAsia="仿宋_GB2312" w:cs="Times New Roman"/>
          <w:sz w:val="32"/>
          <w:szCs w:val="32"/>
          <w:lang w:val="en-US" w:eastAsia="zh-CN"/>
        </w:rPr>
      </w:pPr>
    </w:p>
    <w:p>
      <w:pPr>
        <w:spacing w:line="56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一、基本情况</w:t>
      </w:r>
    </w:p>
    <w:p>
      <w:pPr>
        <w:spacing w:line="56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（一）项目概况</w:t>
      </w:r>
    </w:p>
    <w:p>
      <w:pPr>
        <w:spacing w:line="56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（1）项目背景：湖南省卫生健康委员会湖南省财政厅湖南省人力资源和社会保障厅关于印发&lt;做好“方便群众就医提升基层卫生服务水平”重点民生实事实施方案&gt;的通知》（湘卫基层发[2020]3号）</w:t>
      </w:r>
    </w:p>
    <w:p>
      <w:pPr>
        <w:spacing w:line="56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（2）主要内容及实施情况：落实每个行政村卫生室补助运行经费6000元/年，经费主要用于给村卫生室村医购买基本养老保险或用于改善和保障村卫生室运行条件等。</w:t>
      </w:r>
    </w:p>
    <w:p>
      <w:pPr>
        <w:spacing w:line="560" w:lineRule="exact"/>
        <w:ind w:firstLine="640" w:firstLineChars="200"/>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（3）资金投入和使用情况：全年上级财政投入41.1万元县级配套41.1万元合计82.2万元用于给我县137个行政村卫生室补助运行经费6000元/年。资金预算82.2万元使用82.2万元。</w:t>
      </w:r>
    </w:p>
    <w:p>
      <w:pPr>
        <w:spacing w:line="56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 xml:space="preserve"> </w:t>
      </w:r>
      <w:r>
        <w:rPr>
          <w:rFonts w:hint="eastAsia" w:ascii="仿宋_GB2312" w:eastAsia="仿宋_GB2312" w:cs="Times New Roman"/>
          <w:sz w:val="32"/>
          <w:szCs w:val="32"/>
          <w:lang w:val="en-US" w:eastAsia="zh-CN"/>
        </w:rPr>
        <w:t>（二）</w:t>
      </w:r>
      <w:r>
        <w:rPr>
          <w:rFonts w:hint="eastAsia" w:ascii="仿宋_GB2312" w:hAnsi="Times New Roman" w:eastAsia="仿宋_GB2312" w:cs="Times New Roman"/>
          <w:sz w:val="32"/>
          <w:szCs w:val="32"/>
          <w:lang w:val="en-US" w:eastAsia="zh-CN"/>
        </w:rPr>
        <w:t>项目绩效目标</w:t>
      </w:r>
    </w:p>
    <w:p>
      <w:pPr>
        <w:spacing w:line="56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本项目用于落实每个行政村卫生室补助运行经费6000元/年，经费主要用于给村卫生室村医购买基本养老保险或用于改善和保障村卫生室运行条件等。</w:t>
      </w:r>
    </w:p>
    <w:p>
      <w:pPr>
        <w:spacing w:line="56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二、绩效评价工作开展情况</w:t>
      </w:r>
    </w:p>
    <w:p>
      <w:pPr>
        <w:spacing w:line="56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（一）绩效评价目的，对象和范围</w:t>
      </w:r>
    </w:p>
    <w:p>
      <w:pPr>
        <w:spacing w:line="56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落实每个行政村卫生室补助运行经费6000元/年，经费主要用于给村卫生室村医购买基本养老保险或用于改善和保障村卫生室运行条件等。提高村卫生室服务能力，提升农村群众就医满意度。评价对象为县人民政府、县财政局、县卫健局，评价标准为每年按时发放每个行政村卫生室补助运行经费6000元/年。</w:t>
      </w:r>
    </w:p>
    <w:p>
      <w:pPr>
        <w:spacing w:line="560" w:lineRule="exact"/>
        <w:ind w:left="0" w:firstLine="320" w:firstLineChars="100"/>
        <w:jc w:val="left"/>
        <w:rPr>
          <w:rFonts w:eastAsia="仿宋_GB2312"/>
          <w:sz w:val="32"/>
          <w:szCs w:val="32"/>
        </w:rPr>
      </w:pPr>
      <w:r>
        <w:rPr>
          <w:rFonts w:hint="eastAsia" w:eastAsia="仿宋_GB2312"/>
          <w:sz w:val="32"/>
          <w:szCs w:val="32"/>
        </w:rPr>
        <w:t>（二）绩效评价原则、评价指标体系（附表说明）、评价方法、评价标准等。</w:t>
      </w:r>
    </w:p>
    <w:p>
      <w:pPr>
        <w:pStyle w:val="3"/>
        <w:shd w:val="clear" w:color="auto" w:fill="FFFFFF"/>
        <w:spacing w:before="0" w:beforeAutospacing="0" w:after="0" w:afterAutospacing="0" w:line="510" w:lineRule="atLeast"/>
        <w:ind w:firstLine="640" w:firstLineChars="200"/>
        <w:jc w:val="both"/>
        <w:rPr>
          <w:rFonts w:hint="eastAsia" w:eastAsia="仿宋_GB2312"/>
          <w:sz w:val="32"/>
          <w:szCs w:val="32"/>
        </w:rPr>
      </w:pPr>
      <w:r>
        <w:rPr>
          <w:rFonts w:hint="eastAsia" w:eastAsia="仿宋_GB2312"/>
          <w:sz w:val="32"/>
          <w:szCs w:val="32"/>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pPr>
        <w:spacing w:line="56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（三）绩效评价工作过程</w:t>
      </w:r>
    </w:p>
    <w:p>
      <w:pPr>
        <w:spacing w:line="560" w:lineRule="exact"/>
        <w:ind w:firstLine="640" w:firstLineChars="200"/>
        <w:rPr>
          <w:rFonts w:hint="eastAsia" w:ascii="仿宋_GB2312" w:hAnsi="Times New Roman" w:eastAsia="仿宋_GB2312" w:cs="Times New Roman"/>
          <w:sz w:val="32"/>
          <w:szCs w:val="32"/>
          <w:lang w:val="en-US" w:eastAsia="zh-CN"/>
        </w:rPr>
      </w:pPr>
      <w:r>
        <w:rPr>
          <w:rFonts w:hint="eastAsia" w:ascii="仿宋" w:hAnsi="仿宋" w:eastAsia="仿宋" w:cs="仿宋"/>
          <w:color w:val="333333"/>
          <w:sz w:val="32"/>
          <w:szCs w:val="32"/>
          <w:shd w:val="clear" w:color="auto" w:fill="FFFFFF"/>
        </w:rPr>
        <w:t>加强领导，确保组织到位</w:t>
      </w:r>
      <w:r>
        <w:rPr>
          <w:rFonts w:hint="eastAsia" w:ascii="仿宋" w:hAnsi="仿宋" w:eastAsia="仿宋" w:cs="仿宋"/>
          <w:color w:val="333333"/>
          <w:sz w:val="32"/>
          <w:szCs w:val="32"/>
          <w:shd w:val="clear" w:color="auto" w:fill="FFFFFF"/>
          <w:lang w:eastAsia="zh-CN"/>
        </w:rPr>
        <w:t>，</w:t>
      </w:r>
      <w:r>
        <w:rPr>
          <w:rFonts w:hint="eastAsia" w:ascii="仿宋_GB2312" w:hAnsi="Times New Roman" w:eastAsia="仿宋_GB2312" w:cs="Times New Roman"/>
          <w:sz w:val="32"/>
          <w:szCs w:val="32"/>
          <w:lang w:val="en-US" w:eastAsia="zh-CN"/>
        </w:rPr>
        <w:t>对补助运行经费发放进行全方位督促。</w:t>
      </w:r>
    </w:p>
    <w:p>
      <w:pPr>
        <w:spacing w:line="56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三、综合评价情况及评价结论</w:t>
      </w:r>
    </w:p>
    <w:p>
      <w:pPr>
        <w:spacing w:line="56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我县村卫生室运行经费发放在县委、县政府的正确领导下，协调各级、各有关部门，紧密围绕与群众生产生活密切相关的问题，为我县农村地区群众提高了就医满意度，提生了村卫生室服务能力。评价得分</w:t>
      </w:r>
      <w:r>
        <w:rPr>
          <w:rFonts w:hint="eastAsia" w:ascii="仿宋_GB2312" w:eastAsia="仿宋_GB2312" w:cs="Times New Roman"/>
          <w:sz w:val="32"/>
          <w:szCs w:val="32"/>
          <w:lang w:val="en-US" w:eastAsia="zh-CN"/>
        </w:rPr>
        <w:t>100分，等级为优秀</w:t>
      </w:r>
      <w:r>
        <w:rPr>
          <w:rFonts w:hint="eastAsia" w:ascii="仿宋_GB2312" w:hAnsi="Times New Roman" w:eastAsia="仿宋_GB2312" w:cs="Times New Roman"/>
          <w:sz w:val="32"/>
          <w:szCs w:val="32"/>
          <w:lang w:val="en-US" w:eastAsia="zh-CN"/>
        </w:rPr>
        <w:t>。</w:t>
      </w:r>
    </w:p>
    <w:p>
      <w:pPr>
        <w:spacing w:line="56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四、绩效评价指标分析</w:t>
      </w:r>
    </w:p>
    <w:p>
      <w:pPr>
        <w:spacing w:line="56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 xml:space="preserve">（一）项目决策情况：根据上级要求及我县卫生室实际情况、历史遗留情况综合考虑后再经过局领导班子会讨论后坚决落实每个行政村卫生室补助运行经费6000元/年。 </w:t>
      </w:r>
    </w:p>
    <w:p>
      <w:pPr>
        <w:spacing w:line="56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（二）项目过程情况：预算执行率100%，无项目预算结余或超支等情况。</w:t>
      </w:r>
    </w:p>
    <w:p>
      <w:pPr>
        <w:spacing w:line="56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 xml:space="preserve">（三）项目产出情况：每个行政村6000元/年运行经费，个别因历史遗留问题（2016-2017年合村并村造成一村多室的情况，一个行政村内6000元运行经费根据村卫生室数量平均分配）。 </w:t>
      </w:r>
    </w:p>
    <w:p>
      <w:pPr>
        <w:spacing w:line="560" w:lineRule="exact"/>
        <w:ind w:firstLine="640" w:firstLineChars="200"/>
        <w:rPr>
          <w:rFonts w:hint="eastAsia" w:eastAsia="仿宋_GB2312"/>
          <w:sz w:val="32"/>
          <w:szCs w:val="32"/>
        </w:rPr>
      </w:pPr>
      <w:r>
        <w:rPr>
          <w:rFonts w:hint="eastAsia" w:eastAsia="仿宋_GB2312"/>
          <w:sz w:val="32"/>
          <w:szCs w:val="32"/>
        </w:rPr>
        <w:t>（四）项目效益情况。</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本项目提高了我县农村地区群众的就医环境、提高了底层村卫生室村医的工作环境</w:t>
      </w:r>
      <w:r>
        <w:rPr>
          <w:rFonts w:hint="eastAsia" w:ascii="仿宋_GB2312" w:hAnsi="仿宋_GB2312" w:eastAsia="仿宋_GB2312" w:cs="仿宋_GB2312"/>
          <w:sz w:val="32"/>
          <w:szCs w:val="32"/>
        </w:rPr>
        <w:t>。</w:t>
      </w:r>
    </w:p>
    <w:p>
      <w:pPr>
        <w:spacing w:line="56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五、主要经验及做法、存在的问题及原因分析</w:t>
      </w:r>
    </w:p>
    <w:p>
      <w:pPr>
        <w:spacing w:line="56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1、主要经验。全程参与、紧抓财务、坚定廉洁。</w:t>
      </w:r>
    </w:p>
    <w:p>
      <w:pPr>
        <w:spacing w:line="560" w:lineRule="exact"/>
        <w:ind w:firstLine="640" w:firstLineChars="200"/>
        <w:rPr>
          <w:rFonts w:hint="eastAsia" w:ascii="宋体" w:hAnsi="宋体" w:eastAsia="仿宋_GB2312"/>
          <w:bCs/>
          <w:sz w:val="32"/>
          <w:szCs w:val="32"/>
          <w:lang w:val="en-US" w:eastAsia="zh-CN"/>
        </w:rPr>
      </w:pPr>
      <w:r>
        <w:rPr>
          <w:rFonts w:hint="eastAsia" w:ascii="仿宋_GB2312" w:hAnsi="Times New Roman" w:eastAsia="仿宋_GB2312" w:cs="Times New Roman"/>
          <w:sz w:val="32"/>
          <w:szCs w:val="32"/>
          <w:lang w:val="en-US" w:eastAsia="zh-CN"/>
        </w:rPr>
        <w:t>2、存在的问题。</w:t>
      </w:r>
      <w:r>
        <w:rPr>
          <w:rFonts w:hint="eastAsia" w:ascii="仿宋_GB2312" w:hAnsi="Times New Roman" w:eastAsia="仿宋_GB2312" w:cs="Times New Roman"/>
          <w:sz w:val="32"/>
          <w:szCs w:val="32"/>
        </w:rPr>
        <w:t>项目预算</w:t>
      </w:r>
      <w:r>
        <w:rPr>
          <w:rFonts w:hint="eastAsia" w:ascii="仿宋_GB2312" w:eastAsia="仿宋_GB2312" w:cs="Times New Roman"/>
          <w:sz w:val="32"/>
          <w:szCs w:val="32"/>
          <w:lang w:eastAsia="zh-CN"/>
        </w:rPr>
        <w:t>资金拨付欠及时。</w:t>
      </w:r>
    </w:p>
    <w:p>
      <w:pPr>
        <w:spacing w:line="560" w:lineRule="exact"/>
        <w:ind w:left="0" w:firstLine="640" w:firstLineChars="200"/>
        <w:jc w:val="left"/>
        <w:rPr>
          <w:rFonts w:hint="eastAsia" w:ascii="宋体" w:hAnsi="宋体"/>
          <w:bCs/>
          <w:sz w:val="32"/>
          <w:szCs w:val="32"/>
        </w:rPr>
      </w:pPr>
      <w:r>
        <w:rPr>
          <w:rFonts w:hint="eastAsia" w:ascii="宋体" w:hAnsi="宋体"/>
          <w:bCs/>
          <w:sz w:val="32"/>
          <w:szCs w:val="32"/>
        </w:rPr>
        <w:t>六、有关建议</w:t>
      </w:r>
    </w:p>
    <w:p>
      <w:pPr>
        <w:spacing w:line="560" w:lineRule="exact"/>
        <w:ind w:left="0" w:firstLine="640" w:firstLineChars="200"/>
        <w:jc w:val="both"/>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建议尽快拨付预算资金。</w:t>
      </w:r>
    </w:p>
    <w:p>
      <w:pPr>
        <w:numPr>
          <w:ilvl w:val="0"/>
          <w:numId w:val="1"/>
        </w:numPr>
        <w:spacing w:line="560" w:lineRule="exact"/>
        <w:ind w:left="0" w:firstLine="640" w:firstLineChars="200"/>
        <w:jc w:val="left"/>
        <w:rPr>
          <w:rFonts w:hint="eastAsia" w:ascii="宋体" w:hAnsi="宋体"/>
          <w:bCs/>
          <w:sz w:val="32"/>
          <w:szCs w:val="32"/>
        </w:rPr>
      </w:pPr>
      <w:r>
        <w:rPr>
          <w:rFonts w:hint="eastAsia" w:ascii="宋体" w:hAnsi="宋体"/>
          <w:bCs/>
          <w:sz w:val="32"/>
          <w:szCs w:val="32"/>
        </w:rPr>
        <w:t>其他需要说明的问题</w:t>
      </w:r>
    </w:p>
    <w:p>
      <w:pPr>
        <w:numPr>
          <w:ilvl w:val="0"/>
          <w:numId w:val="0"/>
        </w:numPr>
        <w:spacing w:line="560" w:lineRule="exact"/>
        <w:ind w:leftChars="200" w:firstLine="320" w:firstLineChars="100"/>
        <w:jc w:val="left"/>
        <w:rPr>
          <w:rFonts w:hint="eastAsia" w:ascii="宋体" w:hAnsi="宋体"/>
          <w:bCs/>
          <w:sz w:val="32"/>
          <w:szCs w:val="32"/>
          <w:lang w:eastAsia="zh-CN"/>
        </w:rPr>
      </w:pPr>
      <w:r>
        <w:rPr>
          <w:rFonts w:hint="eastAsia" w:ascii="宋体" w:hAnsi="宋体"/>
          <w:bCs/>
          <w:sz w:val="32"/>
          <w:szCs w:val="32"/>
          <w:lang w:eastAsia="zh-CN"/>
        </w:rPr>
        <w:t>无。</w:t>
      </w:r>
    </w:p>
    <w:p>
      <w:pPr>
        <w:pStyle w:val="2"/>
        <w:jc w:val="right"/>
        <w:rPr>
          <w:rFonts w:hint="eastAsia" w:ascii="宋体" w:hAnsi="宋体"/>
          <w:bCs/>
          <w:sz w:val="32"/>
          <w:szCs w:val="32"/>
          <w:lang w:eastAsia="zh-CN"/>
        </w:rPr>
      </w:pPr>
      <w:bookmarkStart w:id="0" w:name="_GoBack"/>
      <w:bookmarkEnd w:id="0"/>
      <w:r>
        <w:rPr>
          <w:rFonts w:hint="eastAsia" w:ascii="宋体" w:hAnsi="宋体"/>
          <w:bCs/>
          <w:sz w:val="32"/>
          <w:szCs w:val="32"/>
          <w:lang w:eastAsia="zh-CN"/>
        </w:rPr>
        <w:t>新晃县卫生健康局</w:t>
      </w:r>
    </w:p>
    <w:p>
      <w:pPr>
        <w:jc w:val="right"/>
        <w:rPr>
          <w:rFonts w:hint="default"/>
          <w:lang w:val="en-US"/>
        </w:rPr>
      </w:pPr>
      <w:r>
        <w:rPr>
          <w:rFonts w:hint="eastAsia" w:ascii="宋体" w:hAnsi="宋体"/>
          <w:bCs/>
          <w:sz w:val="32"/>
          <w:szCs w:val="32"/>
          <w:lang w:val="en-US" w:eastAsia="zh-CN"/>
        </w:rPr>
        <w:t>2023年5月15日</w:t>
      </w:r>
    </w:p>
    <w:p>
      <w:pPr>
        <w:spacing w:line="600" w:lineRule="exact"/>
        <w:rPr>
          <w:rFonts w:ascii="仿宋_GB2312" w:hAnsi="仿宋_GB2312" w:eastAsia="仿宋_GB2312" w:cs="仿宋_GB2312"/>
          <w:color w:val="000000" w:themeColor="text1"/>
          <w:sz w:val="32"/>
          <w:szCs w:val="32"/>
          <w14:textFill>
            <w14:solidFill>
              <w14:schemeClr w14:val="tx1"/>
            </w14:solidFill>
          </w14:textFill>
        </w:rPr>
      </w:pPr>
    </w:p>
    <w:p>
      <w:pPr>
        <w:spacing w:line="600" w:lineRule="exact"/>
        <w:rPr>
          <w:rFonts w:ascii="仿宋_GB2312" w:hAnsi="仿宋_GB2312" w:eastAsia="仿宋_GB2312" w:cs="仿宋_GB2312"/>
          <w:color w:val="000000" w:themeColor="text1"/>
          <w:sz w:val="32"/>
          <w:szCs w:val="32"/>
          <w14:textFill>
            <w14:solidFill>
              <w14:schemeClr w14:val="tx1"/>
            </w14:solidFill>
          </w14:textFill>
        </w:rPr>
      </w:pPr>
    </w:p>
    <w:p>
      <w:pPr>
        <w:spacing w:line="600" w:lineRule="exac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w:t>
      </w:r>
    </w:p>
    <w:p>
      <w:pPr>
        <w:spacing w:line="600" w:lineRule="exact"/>
        <w:rPr>
          <w:rFonts w:ascii="仿宋_GB2312" w:hAnsi="仿宋_GB2312" w:eastAsia="仿宋_GB2312" w:cs="仿宋_GB2312"/>
          <w:sz w:val="32"/>
          <w:szCs w:val="32"/>
        </w:r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A56C11"/>
    <w:multiLevelType w:val="singleLevel"/>
    <w:tmpl w:val="D7A56C11"/>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dhYjYyNDZlYTNkMzMxNGM4MTc2MDE5MDgyMmI1ZWMifQ=="/>
  </w:docVars>
  <w:rsids>
    <w:rsidRoot w:val="4AD9434A"/>
    <w:rsid w:val="15F87187"/>
    <w:rsid w:val="1D5A224A"/>
    <w:rsid w:val="22D86A28"/>
    <w:rsid w:val="36575075"/>
    <w:rsid w:val="4AD9434A"/>
    <w:rsid w:val="5C394362"/>
    <w:rsid w:val="680A390F"/>
    <w:rsid w:val="693566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1798</Words>
  <Characters>1970</Characters>
  <Lines>0</Lines>
  <Paragraphs>0</Paragraphs>
  <TotalTime>3</TotalTime>
  <ScaleCrop>false</ScaleCrop>
  <LinksUpToDate>false</LinksUpToDate>
  <CharactersWithSpaces>2096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2023-05-05T00:40:00Z</dcterms:created>
  <dc:creator>八月的风</dc:creator>
  <cp:lastModifiedBy>八月的风</cp:lastModifiedBy>
  <dcterms:modified xsi:type="dcterms:W3CDTF">2023-05-29T04:35:40Z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D37FE087E6B7435BA16625508402DB90_13</vt:lpwstr>
  </property>
</Properties>
</file>