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农业农村局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4B9CD697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 w14:paraId="707A5C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  <w:highlight w:val="yellow"/>
          <w:shd w:val="clear" w:color="auto" w:fill="FFFFFF"/>
        </w:rPr>
      </w:pPr>
      <w:r>
        <w:rPr>
          <w:rFonts w:hint="eastAsia" w:ascii="仿宋_GB2312" w:hAnsi="宋体" w:eastAsia="仿宋_GB2312" w:cs="Arial"/>
          <w:b/>
          <w:kern w:val="0"/>
          <w:sz w:val="32"/>
          <w:szCs w:val="32"/>
        </w:rPr>
        <w:t>职能职责</w:t>
      </w:r>
      <w:r>
        <w:rPr>
          <w:rFonts w:hint="eastAsia" w:ascii="宋体" w:hAnsi="宋体" w:eastAsia="仿宋_GB2312" w:cs="Arial"/>
          <w:b/>
          <w:kern w:val="0"/>
          <w:sz w:val="32"/>
          <w:szCs w:val="32"/>
        </w:rPr>
        <w:t> </w:t>
      </w:r>
    </w:p>
    <w:p w14:paraId="2F03F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bookmarkStart w:id="0" w:name="FUNCRESP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1、贯彻执行中央、省、市、县有关农业和农村工作的方针政策和农业法律法规，统筹推动发展农村社会事业、农村公共服务，农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村文化、农田建设、农村基础设施和乡村治理等。</w:t>
      </w:r>
    </w:p>
    <w:p w14:paraId="20544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2、负责农业农村局机关及直属事业单位人事、劳动工资、财务计划、机构编制工作，指导有关社团工作、负责指导本县农业项目的申报、项目的实施监督工作。</w:t>
      </w:r>
    </w:p>
    <w:p w14:paraId="3E3D6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3、完成县委、县政府交办的其它工作。</w:t>
      </w:r>
      <w:bookmarkEnd w:id="0"/>
    </w:p>
    <w:p w14:paraId="25C621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_GB2312" w:hAnsi="宋体" w:eastAsia="仿宋_GB2312" w:cs="Arial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b/>
          <w:kern w:val="0"/>
          <w:sz w:val="32"/>
          <w:szCs w:val="32"/>
        </w:rPr>
        <w:t>机构设置</w:t>
      </w:r>
      <w:r>
        <w:rPr>
          <w:rFonts w:hint="eastAsia" w:ascii="宋体" w:hAnsi="宋体" w:eastAsia="仿宋_GB2312" w:cs="Arial"/>
          <w:b/>
          <w:kern w:val="0"/>
          <w:sz w:val="32"/>
          <w:szCs w:val="32"/>
        </w:rPr>
        <w:t> </w:t>
      </w:r>
    </w:p>
    <w:p w14:paraId="6ABF9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bookmarkStart w:id="1" w:name="ORG_SET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1、农业农村局，编制数109名。202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年年末在职人数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84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人，财政全额拨款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84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人，退休人员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78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人，遗属补助人员2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人。</w:t>
      </w:r>
    </w:p>
    <w:p w14:paraId="35E61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2、内设机构：办公室、秘书室、法规股(行政审批服务股)、改革发展规划与计划财务股、乡村产业发展和市场与信息化股（巩固拓展产业扶贫成果办公室）、农村社会事业促进股、农业资源保护与利用股（土肥工作站、农村能源管理站）、种植业管理股(农药管理、农作物种业管理、科教、粮油管理、植保植检)、养殖业管理股（畜禽种业管理）、农田建设股（农业机械化管理股）、中药材服务中心（农业科技服务站）、动物疫病预防控制中心（农产品质量安全监管股），农业行政执法大队，农民素质教育中心，烟叶生产管理站。</w:t>
      </w:r>
    </w:p>
    <w:p w14:paraId="02F35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3、二级机构包括：畜牧水产事务中心（独立核算）、农村经营服务站（独立核算）、农机事务中心（非独立核算）。</w:t>
      </w:r>
      <w:bookmarkEnd w:id="1"/>
    </w:p>
    <w:p w14:paraId="0B6847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收支总体情况和年末固定资产状况</w:t>
      </w:r>
    </w:p>
    <w:p w14:paraId="3BCBFA73">
      <w:pPr>
        <w:pStyle w:val="6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年财政拨款收入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21796.69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万元，财政拨款支出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21796.69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万元。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基本支出共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1570.22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万元，其中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人员经费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1326.6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万元，用于在职人员工资、社会保障缴费及奖金；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243.61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万元用于单位日常工作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运转年末财政拨款结转和结余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8704.58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年末固定资产原值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886.97</w:t>
      </w:r>
      <w:r>
        <w:rPr>
          <w:rFonts w:hint="eastAsia" w:ascii="仿宋_GB2312" w:eastAsia="仿宋_GB2312"/>
          <w:sz w:val="32"/>
          <w:szCs w:val="32"/>
          <w:highlight w:val="none"/>
        </w:rPr>
        <w:t>万元，资产已计提折旧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547.71</w:t>
      </w:r>
      <w:r>
        <w:rPr>
          <w:rFonts w:hint="eastAsia" w:ascii="仿宋_GB2312" w:eastAsia="仿宋_GB2312"/>
          <w:sz w:val="32"/>
          <w:szCs w:val="32"/>
          <w:highlight w:val="none"/>
        </w:rPr>
        <w:t>万元，固定资产净值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312.25</w:t>
      </w:r>
      <w:r>
        <w:rPr>
          <w:rFonts w:hint="eastAsia" w:ascii="仿宋_GB2312" w:eastAsia="仿宋_GB2312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，在建工程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3100.32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 w14:paraId="73FB3D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_GB2312" w:eastAsia="仿宋_GB2312"/>
          <w:b/>
          <w:kern w:val="0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财政财务管理制度及执行情况</w:t>
      </w:r>
    </w:p>
    <w:p w14:paraId="141B4D9A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本单位对财务管理规范，积极进行财政部门组织的决算、编报、审核等方面工作按时完成，认真如实填报各项支出。</w:t>
      </w:r>
      <w:r>
        <w:rPr>
          <w:rFonts w:hint="eastAsia" w:ascii="仿宋_GB2312" w:eastAsia="仿宋_GB2312"/>
          <w:sz w:val="32"/>
          <w:szCs w:val="32"/>
          <w:highlight w:val="none"/>
        </w:rPr>
        <w:t>在资金使用过程中，严格资金管理：一是加强领导，制定了资金管理制度。二是按照财务法律法规要求，加强经费使用和管理，用好资金，尽量提高资金使用效率。三是对资金的拨付、使用和管理严格按照财务管理制度执行，购置东西经过专人验收。四是专款专用，不挪用，非专款用途的开支不列入专项支出。五是每项支出的单据入帐都有经办人、证明人和领导批示。</w:t>
      </w:r>
    </w:p>
    <w:p w14:paraId="0157170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7A6D89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按照中央厉行节约反对浪费的要求，我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局</w:t>
      </w:r>
      <w:r>
        <w:rPr>
          <w:rFonts w:hint="eastAsia" w:ascii="仿宋_GB2312" w:eastAsia="仿宋_GB2312"/>
          <w:sz w:val="32"/>
          <w:szCs w:val="32"/>
          <w:highlight w:val="none"/>
        </w:rPr>
        <w:t>采取了完善制度，把好关口，紧缩支出等有力措施，做到“先预算，后开支；有预算，不超支；无预算，不开支”。硬化预算约束，厉行节约，制止奢侈浪费，保证重点，兼顾一般，充分提高资金的使用效率，增强财务工作的计划性、透明度，以收促支，有效保障农机化事业的发展。</w:t>
      </w:r>
    </w:p>
    <w:p w14:paraId="3E9DA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1.粮食生产稳定增长。全县完成粮食种植面积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24.20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万亩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，其中稻谷种植面积15.88万亩。粮食总产量82050吨，比上年增长1.28%，其中谷物58800吨，下降5.97%，薯类3100吨，增长7.86%，豆类701吨。</w:t>
      </w:r>
    </w:p>
    <w:p w14:paraId="5A920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2.经济作物稳中有升。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油料播种面积8.22万亩，油类总产7515.05吨，增长22.6%，其中油菜籽7172.6吨，增长23.9%。经济作物中，烟叶种植面积0.6101万亩，烟叶总产661吨，其中烤烟661吨。水果总产9863吨，其中柑橘类6040吨，增长4.1%；果用瓜736.5吨，增长3.6%；其他水果1706吨。蔬菜种植面积4.72万亩，蔬菜产量57783.5吨。</w:t>
      </w:r>
    </w:p>
    <w:p w14:paraId="35666AA5">
      <w:pPr>
        <w:pStyle w:val="3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3.畜牧水产稳中向好。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全年出栏生猪24.54万头，下降7.22%；出栏牛4.66万头，下降3.1%；出栏羊7.91万只，下降5.5%；出笼家禽82.01万羽；肉类总产量2.69万吨。</w:t>
      </w:r>
    </w:p>
    <w:p w14:paraId="3672416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农业总产值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稳中向好。202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年全县农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业总产值达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85701.8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0ECF283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6314F8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highlight w:val="none"/>
        </w:rPr>
        <w:t>从财政批复我局部门预算看，部门预算基本围绕保人员经费、公用经费包干进行。从实际工资运行和决算情况看，除基本支出外，单位每年要负担一些财政无预算的刚性支出，如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highlight w:val="none"/>
          <w:lang w:eastAsia="zh-CN"/>
        </w:rPr>
        <w:t>项目运行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highlight w:val="none"/>
        </w:rPr>
        <w:t>工作支出没有预算公用经费等，资金缺口大，单位只能靠挤占基本支出和项目经费，单位运转困难。同时，也造成单位难以按照部门预算使用资金。</w:t>
      </w:r>
    </w:p>
    <w:p w14:paraId="2F65C1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61F57B"/>
    <w:multiLevelType w:val="singleLevel"/>
    <w:tmpl w:val="E061F57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iMDlmZDg5MTBjMzQzY2MzYjI2YmY5ODY4NzkyNDAifQ=="/>
  </w:docVars>
  <w:rsids>
    <w:rsidRoot w:val="00000000"/>
    <w:rsid w:val="12721775"/>
    <w:rsid w:val="25921799"/>
    <w:rsid w:val="489A18C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288</Words>
  <Characters>291</Characters>
  <Lines>0</Lines>
  <Paragraphs>0</Paragraphs>
  <TotalTime>1</TotalTime>
  <ScaleCrop>false</ScaleCrop>
  <LinksUpToDate>false</LinksUpToDate>
  <CharactersWithSpaces>291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杨长锦</cp:lastModifiedBy>
  <dcterms:modified xsi:type="dcterms:W3CDTF">2024-09-14T02:10:53Z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12A71744045445B687D66BD13FB312DC_12</vt:lpwstr>
  </property>
</Properties>
</file>