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560" w:lineRule="exact"/>
        <w:ind w:left="0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>
      <w:pPr>
        <w:spacing w:line="440" w:lineRule="exact"/>
        <w:ind w:left="0"/>
        <w:jc w:val="center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</w:t>
      </w:r>
      <w:r>
        <w:rPr>
          <w:rFonts w:hint="eastAsia" w:ascii="黑体" w:hAnsi="黑体" w:eastAsia="黑体"/>
          <w:bCs/>
          <w:w w:val="85"/>
          <w:sz w:val="36"/>
          <w:szCs w:val="36"/>
        </w:rPr>
        <w:t>3</w:t>
      </w:r>
      <w:r>
        <w:rPr>
          <w:rFonts w:ascii="黑体" w:hAnsi="黑体" w:eastAsia="黑体"/>
          <w:bCs/>
          <w:w w:val="85"/>
          <w:sz w:val="36"/>
          <w:szCs w:val="36"/>
        </w:rPr>
        <w:t>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rFonts w:eastAsia="仿宋_GB2312"/>
          <w:szCs w:val="21"/>
        </w:rPr>
        <w:t>金额单位：万元</w:t>
      </w:r>
    </w:p>
    <w:tbl>
      <w:tblPr>
        <w:tblStyle w:val="7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2500"/>
        <w:gridCol w:w="1164"/>
        <w:gridCol w:w="861"/>
        <w:gridCol w:w="1206"/>
        <w:gridCol w:w="832"/>
        <w:gridCol w:w="870"/>
      </w:tblGrid>
      <w:tr>
        <w:tblPrEx>
          <w:tblLayout w:type="fixed"/>
        </w:tblPrEx>
        <w:trPr>
          <w:trHeight w:val="713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36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新晃侗族自治县文化旅游广电体育局             </w:t>
            </w:r>
          </w:p>
        </w:tc>
        <w:tc>
          <w:tcPr>
            <w:tcW w:w="116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3769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eastAsia="仿宋_GB2312"/>
              </w:rPr>
              <w:t>图书购置</w:t>
            </w:r>
          </w:p>
        </w:tc>
      </w:tr>
      <w:tr>
        <w:tblPrEx>
          <w:tblLayout w:type="fixed"/>
        </w:tblPrEx>
        <w:trPr>
          <w:trHeight w:val="58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364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 新晃侗族自治县文化旅游广电体育局 </w:t>
            </w:r>
          </w:p>
        </w:tc>
        <w:tc>
          <w:tcPr>
            <w:tcW w:w="116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861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邹翠香</w:t>
            </w:r>
          </w:p>
        </w:tc>
        <w:tc>
          <w:tcPr>
            <w:tcW w:w="12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6222245</w:t>
            </w:r>
          </w:p>
        </w:tc>
      </w:tr>
      <w:tr>
        <w:tblPrEx>
          <w:tblLayout w:type="fixed"/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25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16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067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Layout w:type="fixed"/>
        </w:tblPrEx>
        <w:trPr>
          <w:trHeight w:val="344" w:hRule="atLeast"/>
          <w:tblCellSpacing w:w="0" w:type="dxa"/>
        </w:trPr>
        <w:tc>
          <w:tcPr>
            <w:tcW w:w="131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</w:t>
            </w:r>
          </w:p>
        </w:tc>
        <w:tc>
          <w:tcPr>
            <w:tcW w:w="250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12</w:t>
            </w:r>
          </w:p>
        </w:tc>
        <w:tc>
          <w:tcPr>
            <w:tcW w:w="116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0</w:t>
            </w:r>
          </w:p>
        </w:tc>
        <w:tc>
          <w:tcPr>
            <w:tcW w:w="2067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15</w:t>
            </w:r>
          </w:p>
        </w:tc>
        <w:tc>
          <w:tcPr>
            <w:tcW w:w="1702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125%</w:t>
            </w:r>
          </w:p>
        </w:tc>
      </w:tr>
      <w:tr>
        <w:tblPrEx>
          <w:tblLayout w:type="fixed"/>
        </w:tblPrEx>
        <w:trPr>
          <w:trHeight w:val="46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Layout w:type="fixed"/>
        </w:tblPrEx>
        <w:trPr>
          <w:trHeight w:val="8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Layout w:type="fixed"/>
        </w:tblPrEx>
        <w:trPr>
          <w:trHeight w:val="617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该项目预算执行率为125%。根据实际情况评分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Layout w:type="fixed"/>
        </w:tblPrEx>
        <w:trPr>
          <w:trHeight w:val="64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由新晃县文化旅游广电体育局担任法人具体负责组织实施，委派专人对项目进行管理。严格执行项目法人制和合同管理制度，对建设项目从筹划、立项、筹资、设计、建设实施直至运行管理等全过程，实行了全面负责，以达到实现自我发展、自觉协调、讲究实效的工程建设管理体制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Layout w:type="fixed"/>
        </w:tblPrEx>
        <w:trPr>
          <w:trHeight w:val="958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我局严格按照县财政相关政策制度管理、使用各项资金，并根据《会计法》、《预算法》等法规制订了单位财务管理、办公物资采购管理、固定资产管理等多项财务规章制度，专项资金的开支，均需要各部门严格控制，层层审批，确保专款专用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Layout w:type="fixed"/>
        </w:tblPrEx>
        <w:trPr>
          <w:trHeight w:val="664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数量指标：借阅图书数量94860册；质量指标：购置图书合格率100%；时效指标：2023年12月31日前完成；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Layout w:type="fixed"/>
        </w:tblPrEx>
        <w:trPr>
          <w:trHeight w:val="933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ind w:left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社会效益：提升社会公众的服务水平；</w:t>
            </w: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生态效益指标：免费开放无垃圾、无噪音、无固废；</w:t>
            </w: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可持续影响指标：提高全民阅读；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0" w:leftChars="0" w:firstLine="0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Layout w:type="fixed"/>
        </w:tblPrEx>
        <w:trPr>
          <w:trHeight w:val="782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服务对象满意度计分：90%≤满意度≤100%记10分，80%≤满意度&lt;90%记8分，70%≤满意度&lt;80%记6分，60%≤满意度&lt;70%记4分，满意度&lt;60%记0分。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Layout w:type="fixed"/>
        </w:tblPrEx>
        <w:trPr>
          <w:trHeight w:val="581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bookmarkStart w:id="0" w:name="_GoBack" w:colFirst="5" w:colLast="5"/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98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bookmarkEnd w:id="0"/>
      <w:tr>
        <w:tblPrEx>
          <w:tblLayout w:type="fixed"/>
        </w:tblPrEx>
        <w:trPr>
          <w:trHeight w:val="825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0" w:leftChars="0" w:firstLine="0" w:firstLineChars="0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Layout w:type="fixed"/>
        </w:tblPrEx>
        <w:trPr>
          <w:trHeight w:val="452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rFonts w:hint="default"/>
                <w:lang w:val="en-US" w:eastAsia="zh-CN"/>
              </w:rPr>
              <w:t>8</w:t>
            </w:r>
          </w:p>
        </w:tc>
        <w:tc>
          <w:tcPr>
            <w:tcW w:w="870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</w:tr>
      <w:tr>
        <w:tblPrEx>
          <w:tblLayout w:type="fixed"/>
        </w:tblPrEx>
        <w:trPr>
          <w:trHeight w:val="660" w:hRule="atLeast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☑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仿宋_GB2312" w:hAnsi="仿宋_GB2312" w:eastAsia="仿宋_GB2312" w:cs="仿宋_GB2312"/>
          <w:szCs w:val="21"/>
        </w:rPr>
        <w:sectPr>
          <w:pgSz w:w="11906" w:h="16838"/>
          <w:pgMar w:top="1327" w:right="1800" w:bottom="1043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Cs w:val="21"/>
        </w:rPr>
        <w:t>单位负责人（签字）：            项目负责人（签字）：        填表日期：  年   月   日</w:t>
      </w:r>
    </w:p>
    <w:p>
      <w:pPr>
        <w:spacing w:before="240" w:line="340" w:lineRule="exact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</w:t>
      </w:r>
    </w:p>
    <w:p>
      <w:pPr>
        <w:spacing w:line="600" w:lineRule="exact"/>
        <w:jc w:val="center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</w:t>
      </w:r>
      <w:r>
        <w:rPr>
          <w:rFonts w:hint="eastAsia" w:ascii="黑体" w:hAnsi="黑体" w:eastAsia="黑体"/>
          <w:bCs/>
          <w:w w:val="85"/>
          <w:sz w:val="36"/>
          <w:szCs w:val="36"/>
        </w:rPr>
        <w:t>3</w:t>
      </w:r>
      <w:r>
        <w:rPr>
          <w:rFonts w:ascii="黑体" w:hAnsi="黑体" w:eastAsia="黑体"/>
          <w:bCs/>
          <w:w w:val="85"/>
          <w:sz w:val="36"/>
          <w:szCs w:val="36"/>
        </w:rPr>
        <w:t>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一、基本情况</w:t>
      </w:r>
    </w:p>
    <w:p>
      <w:pPr>
        <w:spacing w:line="560" w:lineRule="exact"/>
        <w:ind w:firstLine="480" w:firstLineChars="150"/>
        <w:jc w:val="left"/>
        <w:rPr>
          <w:rFonts w:eastAsia="仿宋_GB2312" w:asciiTheme="minorHAnsi" w:hAnsiTheme="minorHAnsi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项目是财政直接下拨社会公益性事业单位事业经费，用于购置各类文献资源，包括中文图书、报纸、期刊等。《公共图书馆服务规范》规定“公共图书馆的文献购置经费由各级政府投入,专款专用,确保公共图书馆服务的正常开展。”以达到不断丰富馆藏文献资源，提高馆藏文献质量，优化馆藏结构，不断满足读者基本阅读需求，更好服务于读者的基本目标。</w:t>
      </w:r>
    </w:p>
    <w:p>
      <w:pPr>
        <w:spacing w:line="560" w:lineRule="exact"/>
        <w:ind w:firstLine="480" w:firstLineChars="1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（二）项目绩效目标。</w:t>
      </w:r>
    </w:p>
    <w:p>
      <w:pPr>
        <w:spacing w:line="560" w:lineRule="exact"/>
        <w:ind w:left="0"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项目总体目标：有效提升公益性文化单位的公共服务水平，夯实我县现代公共文化服务体系。</w:t>
      </w:r>
    </w:p>
    <w:p>
      <w:pPr>
        <w:spacing w:line="560" w:lineRule="exact"/>
        <w:ind w:left="0"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阶段性目标：完成图书采购工作。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二、绩效评价工作开展情况</w:t>
      </w:r>
    </w:p>
    <w:p>
      <w:pPr>
        <w:spacing w:line="560" w:lineRule="exact"/>
        <w:ind w:firstLine="480" w:firstLineChars="1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绩效评价目的：为了确保全部预算资金在一定期限内达到预期的产出和效果。绩效评价对象：图书购置项目。绩效评价范围：预期产出指标，包括数量、质量、时效和成本等；预期绩效：包括经济效益、社会效益、生态效益、可持续影响、社会公众和服务对象满意度等。</w:t>
      </w:r>
    </w:p>
    <w:p>
      <w:pPr>
        <w:spacing w:line="560" w:lineRule="exact"/>
        <w:ind w:firstLine="480" w:firstLineChars="1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spacing w:line="560" w:lineRule="exact"/>
        <w:ind w:left="0"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>
      <w:pPr>
        <w:spacing w:line="560" w:lineRule="exact"/>
        <w:ind w:firstLine="480" w:firstLineChars="1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（三）绩效评价工作过程。</w:t>
      </w:r>
    </w:p>
    <w:p>
      <w:pPr>
        <w:spacing w:line="560" w:lineRule="exact"/>
        <w:ind w:left="0"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湖南省预算支出绩效评价管理办法》（湘财绩〔2020〕7号）和《新晃侗族自治县财政局关于开展2023年度部门预算支出绩效自评工作的通知》（晃财绩〔2024〕2号）等文件要求，我单位成立了绩效自评工作小组，对项目支出开展了绩效自评工作。组织人员收集项目资料，检查会计凭证，在规定的时间内，对项目的实施过程进行了全面、科学、细致的评价。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三、综合评价情况及评价结论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本次自评，对照项目绩效目标，从项目预算编制、项目组织管理、资金使用、项目产出、项目效益、满意度等方面逐一分析评价，总体自评得分98分，绩效评价等级为“优”。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四、绩效评价指标分析</w:t>
      </w:r>
    </w:p>
    <w:p>
      <w:pPr>
        <w:spacing w:line="560" w:lineRule="exact"/>
        <w:ind w:firstLine="480" w:firstLineChars="1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1、确定项目决策的范畴：根据项目的阶段和内容，确定哪些方面的决策需要被记录和总结，包括目标、资源、进度、风险等方面。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2、梳理并整理决策信息：收集和整理涉及到的各种决策信息，包括决策的时间、主要内容、影响因素和决策结果等方面。</w:t>
      </w:r>
      <w:r>
        <w:rPr>
          <w:rFonts w:hint="eastAsia" w:ascii="仿宋_GB2312" w:eastAsia="仿宋_GB2312"/>
          <w:sz w:val="32"/>
          <w:szCs w:val="32"/>
        </w:rPr>
        <w:br w:type="textWrapping"/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3、分析和评价决策效果：对每一项决策进行分析和评价，考察其是否符合预期目标，产生积极的效果，以及存在的问题和不足之处等。</w:t>
      </w:r>
    </w:p>
    <w:p>
      <w:pPr>
        <w:spacing w:line="560" w:lineRule="exact"/>
        <w:ind w:firstLine="480" w:firstLineChars="1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（二）项目过程情况。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严格执行项目活动申报、审核、拨付、管理等全过程，实行了全面负责。</w:t>
      </w:r>
    </w:p>
    <w:p>
      <w:pPr>
        <w:spacing w:line="560" w:lineRule="exact"/>
        <w:ind w:firstLine="480" w:firstLineChars="1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（三）项目产出情况。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数量指标：借阅图书数量94860册；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质量指标：购置图书合格率100%；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时效指标：2023年12月31日之前；</w:t>
      </w:r>
    </w:p>
    <w:p>
      <w:pPr>
        <w:spacing w:line="560" w:lineRule="exact"/>
        <w:ind w:firstLine="480" w:firstLineChars="1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社会效益：对提高当地群众参与文化活动积极性的作用显著；切实保障人民群众基本文化权益程度作用显著；青少年儿童学习文化的兴趣显著提高；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生态效益指标：免费开放无垃圾、无噪音、无固废；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可持续影响指标：加强文化文物事业发展；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社会公众或服务对象满意度指标：公众满意度≥90%，干部职工满意度≥100%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六、有关建议</w:t>
      </w:r>
    </w:p>
    <w:p>
      <w:pPr>
        <w:spacing w:line="560" w:lineRule="exact"/>
        <w:ind w:firstLine="800" w:firstLineChars="2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560" w:lineRule="exact"/>
        <w:ind w:firstLine="640" w:firstLineChars="200"/>
        <w:jc w:val="left"/>
        <w:rPr>
          <w:rFonts w:eastAsia="仿宋_GB2312" w:asciiTheme="minorHAnsi" w:hAnsiTheme="minorHAnsi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七、其他需要说明的问题</w:t>
      </w:r>
    </w:p>
    <w:p>
      <w:pPr>
        <w:spacing w:line="560" w:lineRule="exact"/>
        <w:ind w:firstLine="800" w:firstLineChars="250"/>
        <w:jc w:val="left"/>
        <w:rPr>
          <w:rFonts w:eastAsia="仿宋_GB2312" w:asciiTheme="minorHAnsi" w:hAnsiTheme="minorHAnsi"/>
          <w:sz w:val="32"/>
          <w:szCs w:val="32"/>
        </w:rPr>
      </w:pPr>
      <w:r>
        <w:rPr>
          <w:rFonts w:hint="eastAsia" w:eastAsia="仿宋_GB2312" w:asciiTheme="minorHAnsi" w:hAnsiTheme="minorHAnsi"/>
          <w:sz w:val="32"/>
          <w:szCs w:val="32"/>
        </w:rPr>
        <w:t>无</w:t>
      </w:r>
    </w:p>
    <w:p>
      <w:pPr>
        <w:spacing w:line="560" w:lineRule="exact"/>
        <w:ind w:firstLine="320" w:firstLineChars="100"/>
        <w:jc w:val="left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2720" w:firstLineChars="85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新晃侗族自治县文化旅游广电体育局</w:t>
      </w:r>
    </w:p>
    <w:p>
      <w:pPr>
        <w:spacing w:line="560" w:lineRule="exact"/>
        <w:ind w:firstLine="3840" w:firstLineChars="1200"/>
        <w:jc w:val="left"/>
        <w:rPr>
          <w:rFonts w:ascii="仿宋_GB2312"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32"/>
          <w:szCs w:val="32"/>
        </w:rPr>
        <w:t>2024年 4月9日</w:t>
      </w:r>
    </w:p>
    <w:p>
      <w:pPr>
        <w:pStyle w:val="2"/>
        <w:ind w:left="0" w:firstLine="0" w:firstLineChars="0"/>
      </w:pPr>
    </w:p>
    <w:sectPr>
      <w:pgSz w:w="11906" w:h="16838"/>
      <w:pgMar w:top="1327" w:right="1800" w:bottom="10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6"/>
    <w:link w:val="4"/>
    <w:uiPriority w:val="0"/>
    <w:rPr>
      <w:sz w:val="18"/>
      <w:szCs w:val="18"/>
    </w:rPr>
  </w:style>
  <w:style w:type="character" w:customStyle="1" w:styleId="10">
    <w:name w:val="页脚 Char"/>
    <w:basedOn w:val="6"/>
    <w:link w:val="3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382</Words>
  <Characters>2181</Characters>
  <Lines>18</Lines>
  <Paragraphs>5</Paragraphs>
  <ScaleCrop>false</ScaleCrop>
  <LinksUpToDate>false</LinksUpToDate>
  <CharactersWithSpaces>2558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2024-04-18T16:16:00Z</dcterms:created>
  <dc:creator>wgxj</dc:creator>
  <cp:lastModifiedBy>iPhone</cp:lastModifiedBy>
  <cp:lastPrinted>2023-05-27T09:23:00Z</cp:lastPrinted>
  <dcterms:modified xsi:type="dcterms:W3CDTF">2024-04-17T17:18:35Z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2052-12.11.1</vt:lpwstr>
  </property>
  <property fmtid="{D5CDD505-2E9C-101B-9397-08002B2CF9AE}" pid="3" name="ICV">
    <vt:lpwstr>EA5DF74C0A9C4DFD91E46243D5B91EA0_11</vt:lpwstr>
  </property>
</Properties>
</file>