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240" w:lineRule="exact"/>
        <w:jc w:val="left"/>
        <w:rPr>
          <w:rFonts w:hint="eastAsia" w:ascii="仿宋_GB2312" w:hAnsi="仿宋_GB2312" w:eastAsia="仿宋_GB2312" w:cs="仿宋_GB2312"/>
          <w:sz w:val="24"/>
        </w:rPr>
      </w:pPr>
      <w:r>
        <w:rPr>
          <w:rFonts w:hint="eastAsia" w:ascii="仿宋_GB2312" w:hAnsi="仿宋_GB2312" w:eastAsia="仿宋_GB2312" w:cs="仿宋_GB2312"/>
          <w:b/>
          <w:sz w:val="24"/>
        </w:rPr>
        <w:t>附件2-1</w:t>
      </w:r>
    </w:p>
    <w:p>
      <w:pPr>
        <w:spacing w:line="480" w:lineRule="exact"/>
        <w:jc w:val="center"/>
        <w:rPr>
          <w:rFonts w:ascii="宋体" w:hAnsi="宋体"/>
          <w:b/>
          <w:w w:val="85"/>
          <w:sz w:val="36"/>
          <w:szCs w:val="36"/>
        </w:rPr>
      </w:pPr>
      <w:r>
        <w:rPr>
          <w:rFonts w:hint="eastAsia" w:ascii="宋体" w:hAnsi="宋体"/>
          <w:b/>
          <w:w w:val="85"/>
          <w:sz w:val="36"/>
          <w:szCs w:val="36"/>
          <w:lang w:eastAsia="zh-CN"/>
        </w:rPr>
        <w:t>2023</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pPr>
        <w:spacing w:before="156" w:beforeLines="50" w:line="240" w:lineRule="exact"/>
        <w:ind w:firstLine="482"/>
        <w:jc w:val="center"/>
        <w:rPr>
          <w:rFonts w:eastAsia="仿宋_GB2312"/>
          <w:sz w:val="24"/>
          <w:szCs w:val="24"/>
        </w:rPr>
      </w:pPr>
      <w:r>
        <w:rPr>
          <w:sz w:val="24"/>
        </w:rPr>
        <w:t xml:space="preserve">                                                  </w:t>
      </w:r>
      <w:r>
        <w:rPr>
          <w:rFonts w:eastAsia="仿宋_GB2312"/>
          <w:sz w:val="24"/>
          <w:szCs w:val="24"/>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项目单位</w:t>
            </w:r>
          </w:p>
          <w:p>
            <w:pPr>
              <w:spacing w:line="320" w:lineRule="exact"/>
              <w:ind w:left="1"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 w:val="20"/>
                <w:szCs w:val="21"/>
              </w:rPr>
              <w:t>名称</w:t>
            </w:r>
          </w:p>
        </w:tc>
        <w:tc>
          <w:tcPr>
            <w:tcW w:w="2943"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 w:val="20"/>
                <w:szCs w:val="21"/>
                <w:lang w:val="en-US" w:eastAsia="zh-CN"/>
              </w:rPr>
              <w:t xml:space="preserve">新晃侗族自治县文化旅游广电体育局 </w:t>
            </w:r>
            <w:r>
              <w:rPr>
                <w:rFonts w:hint="eastAsia" w:ascii="仿宋_GB2312" w:hAnsi="仿宋_GB2312" w:eastAsia="仿宋_GB2312" w:cs="仿宋_GB2312"/>
                <w:szCs w:val="21"/>
                <w:lang w:val="en-US" w:eastAsia="zh-CN"/>
              </w:rPr>
              <w:t xml:space="preserve"> </w:t>
            </w:r>
          </w:p>
        </w:tc>
        <w:tc>
          <w:tcPr>
            <w:tcW w:w="1628"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项目名称</w:t>
            </w:r>
          </w:p>
        </w:tc>
        <w:tc>
          <w:tcPr>
            <w:tcW w:w="4005" w:type="dxa"/>
            <w:gridSpan w:val="4"/>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用于体育事业的彩票公益金支出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w:t>
            </w:r>
          </w:p>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责任部门</w:t>
            </w:r>
          </w:p>
        </w:tc>
        <w:tc>
          <w:tcPr>
            <w:tcW w:w="2943" w:type="dxa"/>
            <w:gridSpan w:val="2"/>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 xml:space="preserve">新晃侗族自治县文化旅游广电体育局  </w:t>
            </w:r>
          </w:p>
        </w:tc>
        <w:tc>
          <w:tcPr>
            <w:tcW w:w="1628"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项目负责人</w:t>
            </w:r>
          </w:p>
        </w:tc>
        <w:tc>
          <w:tcPr>
            <w:tcW w:w="1097"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许林城</w:t>
            </w:r>
          </w:p>
        </w:tc>
        <w:tc>
          <w:tcPr>
            <w:tcW w:w="1206"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联系电话</w:t>
            </w:r>
          </w:p>
        </w:tc>
        <w:tc>
          <w:tcPr>
            <w:tcW w:w="1702" w:type="dxa"/>
            <w:gridSpan w:val="2"/>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6222245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项目资金</w:t>
            </w:r>
          </w:p>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基本情况</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上年结转</w:t>
            </w:r>
          </w:p>
        </w:tc>
        <w:tc>
          <w:tcPr>
            <w:tcW w:w="1800"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年初预算安排数</w:t>
            </w:r>
          </w:p>
        </w:tc>
        <w:tc>
          <w:tcPr>
            <w:tcW w:w="1628"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预算调整数</w:t>
            </w:r>
          </w:p>
        </w:tc>
        <w:tc>
          <w:tcPr>
            <w:tcW w:w="2303" w:type="dxa"/>
            <w:gridSpan w:val="2"/>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全年执行数</w:t>
            </w:r>
          </w:p>
        </w:tc>
        <w:tc>
          <w:tcPr>
            <w:tcW w:w="1702" w:type="dxa"/>
            <w:gridSpan w:val="2"/>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ind w:left="1" w:firstLine="0" w:firstLineChars="0"/>
              <w:jc w:val="center"/>
              <w:rPr>
                <w:rFonts w:hint="eastAsia" w:ascii="仿宋_GB2312" w:hAnsi="仿宋_GB2312" w:eastAsia="仿宋_GB2312" w:cs="仿宋_GB2312"/>
                <w:sz w:val="20"/>
                <w:szCs w:val="21"/>
              </w:rPr>
            </w:pP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0</w:t>
            </w:r>
          </w:p>
        </w:tc>
        <w:tc>
          <w:tcPr>
            <w:tcW w:w="1800"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288.41</w:t>
            </w:r>
          </w:p>
        </w:tc>
        <w:tc>
          <w:tcPr>
            <w:tcW w:w="1628"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0</w:t>
            </w:r>
          </w:p>
        </w:tc>
        <w:tc>
          <w:tcPr>
            <w:tcW w:w="2303" w:type="dxa"/>
            <w:gridSpan w:val="2"/>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rPr>
            </w:pPr>
            <w:r>
              <w:rPr>
                <w:rFonts w:hint="eastAsia" w:ascii="仿宋_GB2312" w:hAnsi="仿宋_GB2312" w:eastAsia="仿宋_GB2312" w:cs="仿宋_GB2312"/>
                <w:sz w:val="20"/>
                <w:szCs w:val="21"/>
                <w:lang w:val="en-US" w:eastAsia="zh-CN"/>
              </w:rPr>
              <w:t>233.89</w:t>
            </w:r>
          </w:p>
        </w:tc>
        <w:tc>
          <w:tcPr>
            <w:tcW w:w="1702" w:type="dxa"/>
            <w:gridSpan w:val="2"/>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81.09%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评价内容</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分值</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评价简述</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单位自评得分</w:t>
            </w:r>
          </w:p>
        </w:tc>
        <w:tc>
          <w:tcPr>
            <w:tcW w:w="870"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财政复</w:t>
            </w:r>
          </w:p>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项目预算及预期绩效目标编制水平</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本项目预算编制科学、规范、合理，预期绩效目标申报完整，产出、效果类关键性指标清晰、明确、量化，投入与项目产出、效果目标匹配。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预算执行率</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该项目预算执行率为</w:t>
            </w:r>
            <w:r>
              <w:rPr>
                <w:rFonts w:hint="eastAsia" w:ascii="仿宋_GB2312" w:hAnsi="仿宋_GB2312" w:eastAsia="仿宋_GB2312" w:cs="仿宋_GB2312"/>
                <w:sz w:val="20"/>
                <w:szCs w:val="21"/>
                <w:lang w:val="en-US" w:eastAsia="zh-CN"/>
              </w:rPr>
              <w:t>100</w:t>
            </w:r>
            <w:r>
              <w:rPr>
                <w:rFonts w:hint="eastAsia" w:ascii="仿宋_GB2312" w:hAnsi="仿宋_GB2312" w:eastAsia="仿宋_GB2312" w:cs="仿宋_GB2312"/>
                <w:sz w:val="20"/>
                <w:szCs w:val="21"/>
              </w:rPr>
              <w:t>%。根据实际情况评分</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8</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项目组织管理水平</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本项目由新晃县文化旅游广电体育局担任法人具体负责组织实施，委派专人对项目进行管理。严格执行项目法人制和合同管理制度，对建设项目从筹划、立项、筹资、设计、建设实施直至运行管理等全过程，实行了全面负责，以达到实现自我发展、自觉协调、讲究实效的工程建设管理体制。</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资金支出</w:t>
            </w:r>
          </w:p>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合理合规</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我局严格按照县财政相关政策制度管理、使用各项资金，并根据《会计法》、《预算法》等法规制订了单位财务管理、办公物资采购管理、固定资产管理等多项财务规章制度，专项资金的开支，均需要各部门严格控制，层层审批，确保专款专用。</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项目产出</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30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数量指标：体育健身器材维修次数1次/月；培养体育人才108人；参加体育比赛获奖5次。</w:t>
            </w:r>
          </w:p>
          <w:p>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质量指标：体育器材维修合格率100%，参加体育比赛获奖数≥5次；</w:t>
            </w:r>
          </w:p>
          <w:p>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时效指标：2023年12月31日之前完成；</w:t>
            </w:r>
          </w:p>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成本指标：健身器材购置及维修费用≤40万，体育人才培养费用20万。</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28</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项目效益（效果）</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20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社会效益指标：</w:t>
            </w:r>
            <w:r>
              <w:rPr>
                <w:rFonts w:hint="eastAsia" w:ascii="Times New Roman" w:hAnsi="Times New Roman" w:eastAsia="仿宋_GB2312" w:cs="Times New Roman"/>
                <w:sz w:val="20"/>
                <w:szCs w:val="20"/>
              </w:rPr>
              <w:t>加强体育发展，提高全民体质</w:t>
            </w:r>
            <w:r>
              <w:rPr>
                <w:rFonts w:hint="eastAsia" w:ascii="仿宋_GB2312" w:hAnsi="仿宋_GB2312" w:eastAsia="仿宋_GB2312" w:cs="仿宋_GB2312"/>
                <w:sz w:val="20"/>
                <w:szCs w:val="21"/>
                <w:lang w:val="en-US" w:eastAsia="zh-CN"/>
              </w:rPr>
              <w:t>；</w:t>
            </w:r>
          </w:p>
          <w:p>
            <w:pPr>
              <w:spacing w:line="320" w:lineRule="exact"/>
              <w:ind w:left="1" w:firstLine="0" w:firstLineChars="0"/>
              <w:jc w:val="left"/>
              <w:rPr>
                <w:rFonts w:hint="eastAsia"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可持续影响指标：</w:t>
            </w:r>
            <w:r>
              <w:rPr>
                <w:rFonts w:hint="eastAsia" w:ascii="Times New Roman" w:hAnsi="Times New Roman" w:eastAsia="仿宋_GB2312" w:cs="Times New Roman"/>
                <w:sz w:val="20"/>
                <w:szCs w:val="20"/>
              </w:rPr>
              <w:t>加强体育发展，提高全民体质</w:t>
            </w:r>
            <w:r>
              <w:rPr>
                <w:rFonts w:hint="eastAsia" w:ascii="仿宋_GB2312" w:hAnsi="仿宋_GB2312" w:eastAsia="仿宋_GB2312" w:cs="仿宋_GB2312"/>
                <w:sz w:val="20"/>
                <w:szCs w:val="21"/>
                <w:lang w:val="en-US" w:eastAsia="zh-CN"/>
              </w:rPr>
              <w:t>；</w:t>
            </w:r>
          </w:p>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val="en-US" w:eastAsia="zh-CN"/>
              </w:rPr>
              <w:t>社会公众或服务对象满意度指标，公众满意度≥90%；干部职工满意度≥100%。</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19</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满意度</w:t>
            </w:r>
          </w:p>
        </w:tc>
        <w:tc>
          <w:tcPr>
            <w:tcW w:w="1143"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服务对象满意度计分：90%≤满意度≤100%记10分，80%≤满意度&lt;90%记8分，70%≤满意度&lt;80%   记6分，</w:t>
            </w:r>
          </w:p>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60%≤满意度&lt;70%记4分，满意度&lt;60%记0分。</w:t>
            </w: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10</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小计</w:t>
            </w:r>
          </w:p>
        </w:tc>
        <w:tc>
          <w:tcPr>
            <w:tcW w:w="1143"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c>
          <w:tcPr>
            <w:tcW w:w="832" w:type="dxa"/>
            <w:noWrap w:val="0"/>
            <w:tcMar>
              <w:top w:w="0" w:type="dxa"/>
              <w:left w:w="105" w:type="dxa"/>
              <w:bottom w:w="0" w:type="dxa"/>
              <w:right w:w="105" w:type="dxa"/>
            </w:tcMar>
            <w:vAlign w:val="center"/>
          </w:tcPr>
          <w:p>
            <w:pPr>
              <w:spacing w:line="320" w:lineRule="exact"/>
              <w:ind w:left="1" w:firstLine="0" w:firstLineChars="0"/>
              <w:jc w:val="center"/>
              <w:rPr>
                <w:rFonts w:hint="default" w:ascii="仿宋_GB2312" w:hAnsi="仿宋_GB2312" w:eastAsia="仿宋_GB2312" w:cs="仿宋_GB2312"/>
                <w:sz w:val="20"/>
                <w:szCs w:val="21"/>
                <w:lang w:val="en-US" w:eastAsia="zh-CN"/>
              </w:rPr>
            </w:pPr>
            <w:r>
              <w:rPr>
                <w:rFonts w:hint="eastAsia" w:ascii="仿宋_GB2312" w:hAnsi="仿宋_GB2312" w:eastAsia="仿宋_GB2312" w:cs="仿宋_GB2312"/>
                <w:sz w:val="20"/>
                <w:szCs w:val="21"/>
                <w:lang w:val="en-US" w:eastAsia="zh-CN"/>
              </w:rPr>
              <w:t>95</w:t>
            </w: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负向指标</w:t>
            </w:r>
          </w:p>
        </w:tc>
        <w:tc>
          <w:tcPr>
            <w:tcW w:w="1143"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合计</w:t>
            </w:r>
          </w:p>
        </w:tc>
        <w:tc>
          <w:tcPr>
            <w:tcW w:w="1143"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100</w:t>
            </w:r>
          </w:p>
        </w:tc>
        <w:tc>
          <w:tcPr>
            <w:tcW w:w="5731" w:type="dxa"/>
            <w:gridSpan w:val="4"/>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c>
          <w:tcPr>
            <w:tcW w:w="832"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c>
          <w:tcPr>
            <w:tcW w:w="870"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ind w:left="1" w:firstLine="0" w:firstLineChars="0"/>
              <w:jc w:val="center"/>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评价结果</w:t>
            </w:r>
          </w:p>
        </w:tc>
        <w:tc>
          <w:tcPr>
            <w:tcW w:w="1143" w:type="dxa"/>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p>
        </w:tc>
        <w:tc>
          <w:tcPr>
            <w:tcW w:w="7433" w:type="dxa"/>
            <w:gridSpan w:val="6"/>
            <w:noWrap w:val="0"/>
            <w:tcMar>
              <w:top w:w="0" w:type="dxa"/>
              <w:left w:w="105" w:type="dxa"/>
              <w:bottom w:w="0" w:type="dxa"/>
              <w:right w:w="105" w:type="dxa"/>
            </w:tcMar>
            <w:vAlign w:val="center"/>
          </w:tcPr>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lang w:eastAsia="zh-CN"/>
              </w:rPr>
              <w:t>☑</w:t>
            </w:r>
            <w:r>
              <w:rPr>
                <w:rFonts w:hint="eastAsia" w:ascii="仿宋_GB2312" w:hAnsi="仿宋_GB2312" w:eastAsia="仿宋_GB2312" w:cs="仿宋_GB2312"/>
                <w:sz w:val="20"/>
                <w:szCs w:val="21"/>
              </w:rPr>
              <w:t xml:space="preserve"> 优秀  90分≤得分≤100分；    □ 良好  80分≤得分＜90分；</w:t>
            </w:r>
          </w:p>
          <w:p>
            <w:pPr>
              <w:spacing w:line="320" w:lineRule="exact"/>
              <w:ind w:left="1" w:firstLine="0" w:firstLineChars="0"/>
              <w:jc w:val="left"/>
              <w:rPr>
                <w:rFonts w:hint="eastAsia" w:ascii="仿宋_GB2312" w:hAnsi="仿宋_GB2312" w:eastAsia="仿宋_GB2312" w:cs="仿宋_GB2312"/>
                <w:sz w:val="20"/>
                <w:szCs w:val="21"/>
              </w:rPr>
            </w:pPr>
            <w:r>
              <w:rPr>
                <w:rFonts w:hint="eastAsia" w:ascii="仿宋_GB2312" w:hAnsi="仿宋_GB2312" w:eastAsia="仿宋_GB2312" w:cs="仿宋_GB2312"/>
                <w:sz w:val="20"/>
                <w:szCs w:val="21"/>
              </w:rPr>
              <w:t>□ 较差   60分≤得分＜80分；    □ 差    得分＜60分</w:t>
            </w:r>
          </w:p>
        </w:tc>
      </w:tr>
    </w:tbl>
    <w:p>
      <w:pPr>
        <w:spacing w:line="320" w:lineRule="exact"/>
        <w:ind w:left="1" w:firstLine="0" w:firstLineChars="0"/>
        <w:jc w:val="left"/>
        <w:rPr>
          <w:rFonts w:hint="eastAsia" w:ascii="仿宋_GB2312" w:hAnsi="仿宋_GB2312" w:eastAsia="仿宋_GB2312" w:cs="仿宋_GB2312"/>
          <w:sz w:val="20"/>
          <w:szCs w:val="21"/>
        </w:rPr>
      </w:pPr>
    </w:p>
    <w:p>
      <w:pPr>
        <w:spacing w:line="320" w:lineRule="exact"/>
        <w:ind w:left="0" w:firstLine="0" w:firstLineChars="0"/>
        <w:jc w:val="left"/>
        <w:rPr>
          <w:rFonts w:ascii="华文中宋" w:hAnsi="华文中宋" w:eastAsia="华文中宋"/>
          <w:sz w:val="20"/>
          <w:szCs w:val="21"/>
        </w:rPr>
      </w:pPr>
      <w:r>
        <w:rPr>
          <w:rFonts w:ascii="华文中宋" w:hAnsi="华文中宋" w:eastAsia="华文中宋"/>
          <w:sz w:val="20"/>
          <w:szCs w:val="21"/>
        </w:rPr>
        <w:t xml:space="preserve">单位负责人（签字）：  </w:t>
      </w:r>
      <w:r>
        <w:rPr>
          <w:rFonts w:hint="eastAsia" w:ascii="华文中宋" w:hAnsi="华文中宋" w:eastAsia="华文中宋"/>
          <w:sz w:val="20"/>
          <w:szCs w:val="21"/>
        </w:rPr>
        <w:t xml:space="preserve">   </w:t>
      </w:r>
      <w:r>
        <w:rPr>
          <w:rFonts w:ascii="华文中宋" w:hAnsi="华文中宋" w:eastAsia="华文中宋"/>
          <w:sz w:val="20"/>
          <w:szCs w:val="21"/>
        </w:rPr>
        <w:t xml:space="preserve">       项目负责人（签字）： </w:t>
      </w:r>
      <w:r>
        <w:rPr>
          <w:rFonts w:hint="eastAsia" w:ascii="华文中宋" w:hAnsi="华文中宋" w:eastAsia="华文中宋"/>
          <w:sz w:val="20"/>
          <w:szCs w:val="21"/>
        </w:rPr>
        <w:t xml:space="preserve">      </w:t>
      </w:r>
      <w:r>
        <w:rPr>
          <w:rFonts w:ascii="华文中宋" w:hAnsi="华文中宋" w:eastAsia="华文中宋"/>
          <w:sz w:val="20"/>
          <w:szCs w:val="21"/>
        </w:rPr>
        <w:t xml:space="preserve"> 填表日期： </w:t>
      </w:r>
      <w:r>
        <w:rPr>
          <w:rFonts w:hint="eastAsia" w:ascii="华文中宋" w:hAnsi="华文中宋" w:eastAsia="华文中宋"/>
          <w:sz w:val="20"/>
          <w:szCs w:val="21"/>
        </w:rPr>
        <w:t xml:space="preserve"> </w:t>
      </w:r>
      <w:r>
        <w:rPr>
          <w:rFonts w:ascii="华文中宋" w:hAnsi="华文中宋" w:eastAsia="华文中宋"/>
          <w:sz w:val="20"/>
          <w:szCs w:val="21"/>
        </w:rPr>
        <w:t>年   月   日</w:t>
      </w:r>
    </w:p>
    <w:p>
      <w:pPr>
        <w:spacing w:line="320" w:lineRule="exact"/>
        <w:ind w:left="0" w:firstLine="0" w:firstLineChars="0"/>
        <w:jc w:val="left"/>
        <w:rPr>
          <w:rFonts w:hint="eastAsia" w:ascii="华文中宋" w:hAnsi="华文中宋" w:eastAsia="华文中宋"/>
          <w:sz w:val="20"/>
          <w:szCs w:val="21"/>
        </w:rPr>
        <w:sectPr>
          <w:pgSz w:w="11906" w:h="16838"/>
          <w:pgMar w:top="1440" w:right="1800" w:bottom="1440" w:left="1800" w:header="851" w:footer="992" w:gutter="0"/>
          <w:cols w:space="425" w:num="1"/>
          <w:docGrid w:type="lines" w:linePitch="312" w:charSpace="0"/>
        </w:sectPr>
      </w:pPr>
    </w:p>
    <w:p>
      <w:pPr>
        <w:jc w:val="left"/>
        <w:rPr>
          <w:rFonts w:hint="eastAsia" w:ascii="仿宋_GB2312" w:hAnsi="仿宋_GB2312" w:eastAsia="仿宋_GB2312" w:cs="仿宋_GB2312"/>
          <w:b/>
          <w:sz w:val="24"/>
        </w:rPr>
      </w:pPr>
      <w:r>
        <w:rPr>
          <w:rFonts w:hint="eastAsia" w:ascii="仿宋_GB2312" w:hAnsi="仿宋_GB2312" w:eastAsia="仿宋_GB2312" w:cs="仿宋_GB2312"/>
          <w:b/>
          <w:sz w:val="24"/>
        </w:rPr>
        <w:t>附件2-2 </w:t>
      </w:r>
    </w:p>
    <w:p>
      <w:pPr>
        <w:spacing w:line="800" w:lineRule="exact"/>
        <w:jc w:val="center"/>
        <w:rPr>
          <w:rFonts w:hint="eastAsia" w:ascii="宋体" w:hAnsi="宋体"/>
          <w:b/>
          <w:w w:val="90"/>
          <w:sz w:val="36"/>
          <w:szCs w:val="36"/>
        </w:rPr>
      </w:pPr>
      <w:r>
        <w:rPr>
          <w:rFonts w:hint="eastAsia" w:ascii="宋体" w:hAnsi="宋体"/>
          <w:b/>
          <w:w w:val="90"/>
          <w:sz w:val="36"/>
          <w:szCs w:val="36"/>
          <w:lang w:eastAsia="zh-CN"/>
        </w:rPr>
        <w:t>2023</w:t>
      </w:r>
      <w:r>
        <w:rPr>
          <w:rFonts w:hint="eastAsia" w:ascii="宋体" w:hAnsi="宋体"/>
          <w:b/>
          <w:w w:val="90"/>
          <w:sz w:val="36"/>
          <w:szCs w:val="36"/>
        </w:rPr>
        <w:t>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1016"/>
        <w:gridCol w:w="6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pPr>
              <w:spacing w:line="340" w:lineRule="exact"/>
              <w:jc w:val="center"/>
              <w:rPr>
                <w:rFonts w:eastAsia="仿宋_GB2312"/>
                <w:sz w:val="24"/>
              </w:rPr>
            </w:pPr>
            <w:r>
              <w:rPr>
                <w:rFonts w:eastAsia="仿宋_GB2312"/>
                <w:sz w:val="24"/>
              </w:rPr>
              <w:t>评价内容</w:t>
            </w:r>
          </w:p>
        </w:tc>
        <w:tc>
          <w:tcPr>
            <w:tcW w:w="727" w:type="dxa"/>
            <w:noWrap w:val="0"/>
            <w:vAlign w:val="center"/>
          </w:tcPr>
          <w:p>
            <w:pPr>
              <w:spacing w:line="340" w:lineRule="exact"/>
              <w:jc w:val="center"/>
              <w:rPr>
                <w:rFonts w:eastAsia="仿宋_GB2312"/>
                <w:sz w:val="24"/>
              </w:rPr>
            </w:pPr>
            <w:r>
              <w:rPr>
                <w:rFonts w:eastAsia="仿宋_GB2312"/>
                <w:sz w:val="24"/>
              </w:rPr>
              <w:t>分值</w:t>
            </w:r>
          </w:p>
        </w:tc>
        <w:tc>
          <w:tcPr>
            <w:tcW w:w="6770" w:type="dxa"/>
            <w:noWrap w:val="0"/>
            <w:vAlign w:val="center"/>
          </w:tcPr>
          <w:p>
            <w:pPr>
              <w:spacing w:line="340" w:lineRule="exact"/>
              <w:jc w:val="center"/>
              <w:rPr>
                <w:rFonts w:eastAsia="仿宋_GB2312"/>
                <w:sz w:val="24"/>
              </w:rPr>
            </w:pPr>
            <w:r>
              <w:rPr>
                <w:rFonts w:eastAsia="仿宋_GB2312"/>
                <w:sz w:val="24"/>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top"/>
          </w:tcPr>
          <w:p>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pPr>
              <w:spacing w:line="300" w:lineRule="exact"/>
              <w:jc w:val="center"/>
              <w:rPr>
                <w:rFonts w:eastAsia="仿宋_GB2312"/>
                <w:sz w:val="24"/>
              </w:rPr>
            </w:pPr>
            <w:r>
              <w:rPr>
                <w:rFonts w:eastAsia="仿宋_GB2312"/>
                <w:sz w:val="24"/>
              </w:rPr>
              <w:t>预算执行率</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center"/>
          </w:tcPr>
          <w:p>
            <w:pPr>
              <w:spacing w:line="440" w:lineRule="exact"/>
              <w:rPr>
                <w:rFonts w:eastAsia="仿宋_GB2312"/>
                <w:sz w:val="24"/>
              </w:rPr>
            </w:pPr>
            <w:r>
              <w:rPr>
                <w:rFonts w:eastAsia="仿宋_GB2312"/>
                <w:sz w:val="24"/>
              </w:rPr>
              <w:t>预算执行率S≥95%，得满分；每下降1%，扣0.25分，扣完为止。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项目组织</w:t>
            </w:r>
          </w:p>
          <w:p>
            <w:pPr>
              <w:spacing w:line="340" w:lineRule="exact"/>
              <w:jc w:val="center"/>
              <w:rPr>
                <w:rFonts w:eastAsia="仿宋_GB2312"/>
                <w:sz w:val="24"/>
              </w:rPr>
            </w:pPr>
            <w:r>
              <w:rPr>
                <w:rFonts w:eastAsia="仿宋_GB2312"/>
                <w:sz w:val="24"/>
              </w:rPr>
              <w:t>管理水平</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pPr>
              <w:spacing w:line="340" w:lineRule="exact"/>
              <w:jc w:val="center"/>
              <w:rPr>
                <w:rFonts w:hint="eastAsia" w:eastAsia="仿宋_GB2312"/>
                <w:sz w:val="24"/>
              </w:rPr>
            </w:pPr>
            <w:r>
              <w:rPr>
                <w:rFonts w:eastAsia="仿宋_GB2312"/>
                <w:sz w:val="24"/>
              </w:rPr>
              <w:t>资金支出</w:t>
            </w:r>
          </w:p>
          <w:p>
            <w:pPr>
              <w:spacing w:line="340" w:lineRule="exact"/>
              <w:jc w:val="center"/>
              <w:rPr>
                <w:rFonts w:eastAsia="仿宋_GB2312"/>
                <w:sz w:val="24"/>
              </w:rPr>
            </w:pPr>
            <w:r>
              <w:rPr>
                <w:rFonts w:eastAsia="仿宋_GB2312"/>
                <w:sz w:val="24"/>
              </w:rPr>
              <w:t>合理合规</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资金支出合理合规比率=（项目资金支出-不合理合规资金支出）/项目资金支出×100%。</w:t>
            </w:r>
          </w:p>
          <w:p>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pPr>
              <w:spacing w:line="460" w:lineRule="exact"/>
              <w:rPr>
                <w:rFonts w:eastAsia="仿宋_GB2312"/>
                <w:sz w:val="24"/>
              </w:rPr>
            </w:pPr>
            <w:r>
              <w:rPr>
                <w:rFonts w:eastAsia="仿宋_GB2312"/>
                <w:sz w:val="24"/>
              </w:rPr>
              <w:t>资金支出合理合规比率S=100%，得满分；每下降1%，扣1分，扣完为止。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pPr>
              <w:spacing w:line="340" w:lineRule="exact"/>
              <w:jc w:val="center"/>
              <w:rPr>
                <w:rFonts w:eastAsia="仿宋_GB2312"/>
                <w:sz w:val="24"/>
              </w:rPr>
            </w:pPr>
            <w:r>
              <w:rPr>
                <w:rFonts w:eastAsia="仿宋_GB2312"/>
                <w:sz w:val="24"/>
              </w:rPr>
              <w:t>项目</w:t>
            </w:r>
          </w:p>
          <w:p>
            <w:pPr>
              <w:spacing w:line="340" w:lineRule="exact"/>
              <w:jc w:val="center"/>
              <w:rPr>
                <w:rFonts w:eastAsia="仿宋_GB2312"/>
                <w:sz w:val="24"/>
              </w:rPr>
            </w:pPr>
            <w:r>
              <w:rPr>
                <w:rFonts w:eastAsia="仿宋_GB2312"/>
                <w:sz w:val="24"/>
              </w:rPr>
              <w:t>产出</w:t>
            </w:r>
          </w:p>
        </w:tc>
        <w:tc>
          <w:tcPr>
            <w:tcW w:w="727" w:type="dxa"/>
            <w:noWrap w:val="0"/>
            <w:vAlign w:val="center"/>
          </w:tcPr>
          <w:p>
            <w:pPr>
              <w:spacing w:line="340" w:lineRule="exact"/>
              <w:jc w:val="center"/>
              <w:rPr>
                <w:rFonts w:eastAsia="仿宋_GB2312"/>
                <w:sz w:val="24"/>
              </w:rPr>
            </w:pPr>
            <w:r>
              <w:rPr>
                <w:rFonts w:eastAsia="仿宋_GB2312"/>
                <w:sz w:val="24"/>
              </w:rPr>
              <w:t>30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项目效益</w:t>
            </w:r>
          </w:p>
          <w:p>
            <w:pPr>
              <w:spacing w:line="340" w:lineRule="exact"/>
              <w:jc w:val="center"/>
              <w:rPr>
                <w:rFonts w:eastAsia="仿宋_GB2312"/>
                <w:sz w:val="24"/>
              </w:rPr>
            </w:pPr>
            <w:r>
              <w:rPr>
                <w:rFonts w:eastAsia="仿宋_GB2312"/>
                <w:sz w:val="24"/>
              </w:rPr>
              <w:t>（效果）</w:t>
            </w:r>
          </w:p>
        </w:tc>
        <w:tc>
          <w:tcPr>
            <w:tcW w:w="727" w:type="dxa"/>
            <w:noWrap w:val="0"/>
            <w:vAlign w:val="center"/>
          </w:tcPr>
          <w:p>
            <w:pPr>
              <w:spacing w:line="340" w:lineRule="exact"/>
              <w:jc w:val="center"/>
              <w:rPr>
                <w:rFonts w:eastAsia="仿宋_GB2312"/>
                <w:sz w:val="24"/>
              </w:rPr>
            </w:pPr>
            <w:r>
              <w:rPr>
                <w:rFonts w:eastAsia="仿宋_GB2312"/>
                <w:sz w:val="24"/>
              </w:rPr>
              <w:t>20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pPr>
              <w:spacing w:line="340" w:lineRule="exact"/>
              <w:jc w:val="left"/>
              <w:rPr>
                <w:rFonts w:hint="eastAsia" w:eastAsia="仿宋_GB2312"/>
                <w:sz w:val="24"/>
              </w:rPr>
            </w:pPr>
            <w:r>
              <w:rPr>
                <w:rFonts w:hint="eastAsia" w:eastAsia="仿宋_GB2312"/>
                <w:sz w:val="24"/>
              </w:rPr>
              <w:t>服务对象满意度计分：</w:t>
            </w:r>
          </w:p>
          <w:p>
            <w:pPr>
              <w:spacing w:line="340" w:lineRule="exact"/>
              <w:jc w:val="left"/>
              <w:rPr>
                <w:rFonts w:hint="eastAsia" w:eastAsia="仿宋_GB2312"/>
                <w:sz w:val="24"/>
              </w:rPr>
            </w:pPr>
            <w:r>
              <w:rPr>
                <w:rFonts w:hint="eastAsia" w:eastAsia="仿宋_GB2312"/>
                <w:sz w:val="24"/>
              </w:rPr>
              <w:t>90%≤满意度≤100%记10分，</w:t>
            </w:r>
          </w:p>
          <w:p>
            <w:pPr>
              <w:spacing w:line="340" w:lineRule="exact"/>
              <w:jc w:val="left"/>
              <w:rPr>
                <w:rFonts w:hint="eastAsia" w:eastAsia="仿宋_GB2312"/>
                <w:sz w:val="24"/>
              </w:rPr>
            </w:pPr>
            <w:r>
              <w:rPr>
                <w:rFonts w:hint="eastAsia" w:eastAsia="仿宋_GB2312"/>
                <w:sz w:val="24"/>
              </w:rPr>
              <w:t>80%≤满意度&lt;90%记8分，</w:t>
            </w:r>
          </w:p>
          <w:p>
            <w:pPr>
              <w:spacing w:line="340" w:lineRule="exact"/>
              <w:jc w:val="left"/>
              <w:rPr>
                <w:rFonts w:hint="eastAsia" w:eastAsia="仿宋_GB2312"/>
                <w:sz w:val="24"/>
              </w:rPr>
            </w:pPr>
            <w:r>
              <w:rPr>
                <w:rFonts w:hint="eastAsia" w:eastAsia="仿宋_GB2312"/>
                <w:sz w:val="24"/>
              </w:rPr>
              <w:t>70%≤满意度&lt;80%  记6分，</w:t>
            </w:r>
          </w:p>
          <w:p>
            <w:pPr>
              <w:spacing w:line="340" w:lineRule="exact"/>
              <w:jc w:val="left"/>
              <w:rPr>
                <w:rFonts w:hint="eastAsia" w:eastAsia="仿宋_GB2312"/>
                <w:sz w:val="24"/>
              </w:rPr>
            </w:pPr>
            <w:r>
              <w:rPr>
                <w:rFonts w:hint="eastAsia" w:eastAsia="仿宋_GB2312"/>
                <w:sz w:val="24"/>
              </w:rPr>
              <w:t>60%≤满意度&lt;70%记4分，</w:t>
            </w:r>
          </w:p>
          <w:p>
            <w:pPr>
              <w:spacing w:line="340" w:lineRule="exact"/>
              <w:jc w:val="left"/>
              <w:rPr>
                <w:rFonts w:eastAsia="仿宋_GB2312"/>
                <w:sz w:val="24"/>
              </w:rPr>
            </w:pPr>
            <w:r>
              <w:rPr>
                <w:rFonts w:hint="eastAsia" w:eastAsia="仿宋_GB2312"/>
                <w:sz w:val="24"/>
              </w:rPr>
              <w:t>满意度&lt;60%记0分。</w:t>
            </w:r>
          </w:p>
        </w:tc>
      </w:tr>
    </w:tbl>
    <w:p>
      <w:pPr>
        <w:spacing w:before="240" w:line="340" w:lineRule="exact"/>
        <w:jc w:val="left"/>
        <w:rPr>
          <w:rFonts w:hint="eastAsia" w:ascii="仿宋_GB2312" w:hAnsi="仿宋_GB2312" w:eastAsia="仿宋_GB2312" w:cs="仿宋_GB2312"/>
          <w:b/>
          <w:sz w:val="24"/>
        </w:rPr>
        <w:sectPr>
          <w:pgSz w:w="11906" w:h="16838"/>
          <w:pgMar w:top="1440" w:right="1800" w:bottom="1440" w:left="1800" w:header="851" w:footer="992" w:gutter="0"/>
          <w:cols w:space="425" w:num="1"/>
          <w:docGrid w:type="lines" w:linePitch="312" w:charSpace="0"/>
        </w:sectPr>
      </w:pPr>
    </w:p>
    <w:p>
      <w:pPr>
        <w:spacing w:before="240" w:line="340" w:lineRule="exact"/>
        <w:jc w:val="left"/>
        <w:rPr>
          <w:b/>
          <w:sz w:val="24"/>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2023</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pPr>
        <w:pStyle w:val="3"/>
        <w:bidi w:val="0"/>
        <w:rPr>
          <w:rFonts w:hint="eastAsia"/>
        </w:rPr>
      </w:pPr>
      <w:r>
        <w:rPr>
          <w:rFonts w:hint="eastAsia"/>
        </w:rPr>
        <w:t>一、基本情况</w:t>
      </w:r>
    </w:p>
    <w:p>
      <w:pPr>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（一）项目概况。</w:t>
      </w:r>
    </w:p>
    <w:p>
      <w:pPr>
        <w:bidi w:val="0"/>
        <w:rPr>
          <w:rFonts w:hint="eastAsia"/>
        </w:rPr>
      </w:pPr>
      <w:r>
        <w:rPr>
          <w:rFonts w:hint="eastAsia"/>
        </w:rPr>
        <w:t>近年来，在上级部门的大力支持下，在县委、县政府的高度重视下，我县全民健身活动场地得到了</w:t>
      </w:r>
      <w:bookmarkStart w:id="0" w:name="_GoBack"/>
      <w:bookmarkEnd w:id="0"/>
      <w:r>
        <w:rPr>
          <w:rFonts w:hint="eastAsia"/>
        </w:rPr>
        <w:t>全面的提升的良好局面，为全县全民健身活动提供了有力的场地保障。为进一步拉动体育事业的发展，促进民生社保体育各项事业，例如全民健身，体育场馆建设等等，开展了体育彩票销售奖励专业项目。体育彩票销售奖励能够更好的保障我县体育事业运行和发展的需要，为我县体育发展添砖加瓦。</w:t>
      </w:r>
    </w:p>
    <w:p>
      <w:pPr>
        <w:bidi w:val="0"/>
        <w:rPr>
          <w:rFonts w:hint="eastAsia"/>
        </w:rPr>
      </w:pPr>
      <w:r>
        <w:rPr>
          <w:rFonts w:hint="eastAsia"/>
        </w:rPr>
        <w:t>本项目资金用于保障我县体育事业的顺利开展，主要用于体育基础设施的建设，体育人才的选拔、培养，以及体育奖励</w:t>
      </w:r>
      <w:r>
        <w:rPr>
          <w:rFonts w:hint="eastAsia"/>
          <w:lang w:eastAsia="zh-CN"/>
        </w:rPr>
        <w:t>、</w:t>
      </w:r>
      <w:r>
        <w:rPr>
          <w:rFonts w:hint="eastAsia"/>
          <w:lang w:val="en-US" w:eastAsia="zh-CN"/>
        </w:rPr>
        <w:t>全民健身活动的开展</w:t>
      </w:r>
      <w:r>
        <w:rPr>
          <w:rFonts w:hint="eastAsia"/>
        </w:rPr>
        <w:t>。使我县体育工作保持良好的增长态势，我们根据上级要求专项资金用于专项活动。</w:t>
      </w:r>
    </w:p>
    <w:p>
      <w:pPr>
        <w:bidi w:val="0"/>
        <w:rPr>
          <w:rFonts w:hint="eastAsia"/>
        </w:rPr>
      </w:pPr>
      <w:r>
        <w:rPr>
          <w:rFonts w:hint="eastAsia"/>
        </w:rPr>
        <w:t>截至202</w:t>
      </w:r>
      <w:r>
        <w:rPr>
          <w:rFonts w:hint="eastAsia"/>
          <w:lang w:val="en-US" w:eastAsia="zh-CN"/>
        </w:rPr>
        <w:t>3</w:t>
      </w:r>
      <w:r>
        <w:rPr>
          <w:rFonts w:hint="eastAsia"/>
        </w:rPr>
        <w:t>年12月31日，</w:t>
      </w:r>
      <w:r>
        <w:rPr>
          <w:rFonts w:hint="eastAsia"/>
          <w:lang w:val="en-US" w:eastAsia="zh-CN"/>
        </w:rPr>
        <w:t>我县体彩公益金专项资金实际花费107.8万元。</w:t>
      </w:r>
    </w:p>
    <w:p>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pPr>
        <w:bidi w:val="0"/>
        <w:rPr>
          <w:rFonts w:hint="default"/>
          <w:lang w:val="en-US" w:eastAsia="zh-CN"/>
        </w:rPr>
      </w:pPr>
      <w:r>
        <w:rPr>
          <w:rFonts w:hint="eastAsia"/>
          <w:lang w:val="en-US" w:eastAsia="zh-CN"/>
        </w:rPr>
        <w:t xml:space="preserve"> 完成体彩销售工作。</w:t>
      </w:r>
    </w:p>
    <w:p>
      <w:pPr>
        <w:pStyle w:val="3"/>
        <w:bidi w:val="0"/>
        <w:rPr>
          <w:rFonts w:hint="eastAsia"/>
        </w:rPr>
      </w:pPr>
      <w:r>
        <w:rPr>
          <w:rFonts w:hint="eastAsia"/>
        </w:rPr>
        <w:t>二、绩效评价工作开展情况</w:t>
      </w:r>
    </w:p>
    <w:p>
      <w:pPr>
        <w:bidi w:val="0"/>
        <w:rPr>
          <w:rFonts w:hint="eastAsia"/>
        </w:rPr>
      </w:pPr>
      <w:r>
        <w:rPr>
          <w:rFonts w:hint="eastAsia"/>
        </w:rPr>
        <w:t>（一）绩效评价目的、对象和范围。</w:t>
      </w:r>
    </w:p>
    <w:p>
      <w:pPr>
        <w:bidi w:val="0"/>
        <w:rPr>
          <w:rFonts w:hint="eastAsia"/>
        </w:rPr>
      </w:pPr>
      <w:r>
        <w:rPr>
          <w:rFonts w:hint="eastAsia"/>
          <w:lang w:val="en-US" w:eastAsia="zh-CN"/>
        </w:rPr>
        <w:t>通过体育彩票奖励金的投入，为新晃侗族自治县体育事业的发展提供坚实的经济基础。</w:t>
      </w:r>
      <w:r>
        <w:rPr>
          <w:rFonts w:hint="eastAsia"/>
          <w:lang w:eastAsia="zh-CN"/>
        </w:rPr>
        <w:t>加强体育事业发展，提高全民健身运动，不断增强全民体质，着重培养体育人才。</w:t>
      </w:r>
      <w:r>
        <w:rPr>
          <w:rFonts w:hint="eastAsia"/>
          <w:lang w:val="en-US" w:eastAsia="zh-CN"/>
        </w:rPr>
        <w:t>添置体育健身器材和保障设施的日常维护，保障人民群众的健身需求，以及为新晃侗族自治县培养体育人才。全县的全民健身工作不断提高。</w:t>
      </w:r>
    </w:p>
    <w:p>
      <w:pPr>
        <w:numPr>
          <w:ilvl w:val="0"/>
          <w:numId w:val="2"/>
        </w:numPr>
        <w:bidi w:val="0"/>
        <w:ind w:left="-80" w:leftChars="0" w:firstLine="640" w:firstLineChars="0"/>
        <w:rPr>
          <w:rFonts w:hint="eastAsia"/>
        </w:rPr>
      </w:pPr>
      <w:r>
        <w:rPr>
          <w:rFonts w:hint="eastAsia"/>
        </w:rPr>
        <w:t>绩效评价原则、评价指标体系（附表说明）、评价方法、评价标准等。</w:t>
      </w:r>
    </w:p>
    <w:p>
      <w:pPr>
        <w:bidi w:val="0"/>
        <w:rPr>
          <w:rFonts w:hint="eastAsia"/>
        </w:rPr>
      </w:pPr>
      <w:r>
        <w:rPr>
          <w:rFonts w:hint="eastAsia"/>
          <w:lang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numPr>
          <w:ilvl w:val="0"/>
          <w:numId w:val="2"/>
        </w:numPr>
        <w:spacing w:line="560" w:lineRule="exact"/>
        <w:ind w:left="-8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绩效评价工作过程。</w:t>
      </w:r>
    </w:p>
    <w:p>
      <w:pPr>
        <w:bidi w:val="0"/>
        <w:rPr>
          <w:rFonts w:hint="eastAsia" w:eastAsia="宋体"/>
          <w:lang w:val="en-US" w:eastAsia="zh-CN"/>
        </w:rPr>
      </w:pPr>
      <w:r>
        <w:rPr>
          <w:rFonts w:hint="eastAsia"/>
          <w:lang w:val="en-US" w:eastAsia="zh-CN"/>
        </w:rPr>
        <w:t xml:space="preserve"> </w:t>
      </w:r>
      <w:r>
        <w:rPr>
          <w:rFonts w:hint="eastAsia"/>
          <w:lang w:eastAsia="zh-CN"/>
        </w:rPr>
        <w:t>根据《湖南省预算支出绩效评价管理办法》（湘财绩〔2020〕7号）和《新晃侗族自治县财政局关于开展202</w:t>
      </w:r>
      <w:r>
        <w:rPr>
          <w:rFonts w:hint="eastAsia"/>
          <w:lang w:val="en-US" w:eastAsia="zh-CN"/>
        </w:rPr>
        <w:t>3</w:t>
      </w:r>
      <w:r>
        <w:rPr>
          <w:rFonts w:hint="eastAsia"/>
          <w:lang w:eastAsia="zh-CN"/>
        </w:rPr>
        <w:t>年度部门预算支出绩效自评工作的通知》（晃财绩〔202</w:t>
      </w:r>
      <w:r>
        <w:rPr>
          <w:rFonts w:hint="eastAsia"/>
          <w:lang w:val="en-US" w:eastAsia="zh-CN"/>
        </w:rPr>
        <w:t>4</w:t>
      </w:r>
      <w:r>
        <w:rPr>
          <w:rFonts w:hint="eastAsia"/>
          <w:lang w:eastAsia="zh-CN"/>
        </w:rPr>
        <w:t>〕2号）等文件要求，我单位成立了绩效自评工作小组，对</w:t>
      </w:r>
      <w:r>
        <w:rPr>
          <w:rFonts w:hint="eastAsia"/>
          <w:lang w:val="en-US" w:eastAsia="zh-CN"/>
        </w:rPr>
        <w:t>用于体育事业的彩票公益金</w:t>
      </w:r>
      <w:r>
        <w:rPr>
          <w:rFonts w:hint="eastAsia"/>
          <w:lang w:eastAsia="zh-CN"/>
        </w:rPr>
        <w:t>项目支出开展了绩效自评工作。组织人员收集项目资料，检查会计凭证，在规定的时间内，对项目的实施过程进行了全面、科学、细致的评价。</w:t>
      </w:r>
    </w:p>
    <w:p>
      <w:pPr>
        <w:pStyle w:val="3"/>
        <w:numPr>
          <w:ilvl w:val="0"/>
          <w:numId w:val="3"/>
        </w:numPr>
        <w:bidi w:val="0"/>
        <w:rPr>
          <w:rFonts w:hint="eastAsia" w:ascii="仿宋_GB2312" w:hAnsi="仿宋_GB2312" w:eastAsia="仿宋_GB2312" w:cs="仿宋_GB2312"/>
          <w:bCs/>
          <w:sz w:val="32"/>
          <w:szCs w:val="32"/>
        </w:rPr>
      </w:pPr>
      <w:r>
        <w:rPr>
          <w:rFonts w:hint="eastAsia" w:ascii="宋体" w:hAnsi="宋体" w:eastAsia="宋体" w:cs="宋体"/>
          <w:b/>
          <w:bCs w:val="0"/>
          <w:sz w:val="32"/>
          <w:szCs w:val="32"/>
        </w:rPr>
        <w:t>综合评价情况及评价结论</w:t>
      </w:r>
      <w:r>
        <w:rPr>
          <w:rFonts w:hint="eastAsia" w:ascii="仿宋_GB2312" w:hAnsi="仿宋_GB2312" w:eastAsia="仿宋_GB2312" w:cs="仿宋_GB2312"/>
          <w:bCs/>
          <w:sz w:val="32"/>
          <w:szCs w:val="32"/>
        </w:rPr>
        <w:t>（附相关评分表）</w:t>
      </w:r>
    </w:p>
    <w:p>
      <w:pPr>
        <w:bidi w:val="0"/>
        <w:rPr>
          <w:rFonts w:hint="eastAsia"/>
          <w:lang w:val="en-US" w:eastAsia="zh-CN"/>
        </w:rPr>
      </w:pPr>
      <w:r>
        <w:rPr>
          <w:rFonts w:hint="eastAsia"/>
          <w:lang w:val="en-US" w:eastAsia="zh-CN"/>
        </w:rPr>
        <w:t>按照《2023年度新晃县文化旅游广电体育局整体支出绩效自评表》，评价工作组对新晃县文化旅游广电体育局2023年度用于体育事业的彩票公益金</w:t>
      </w:r>
      <w:r>
        <w:rPr>
          <w:rFonts w:hint="eastAsia"/>
          <w:lang w:eastAsia="zh-CN"/>
        </w:rPr>
        <w:t>项目</w:t>
      </w:r>
      <w:r>
        <w:rPr>
          <w:rFonts w:hint="eastAsia"/>
          <w:lang w:val="en-US" w:eastAsia="zh-CN"/>
        </w:rPr>
        <w:t>项目进行评价的评分分值为95分，评价结论为优秀。</w:t>
      </w:r>
    </w:p>
    <w:p>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560" w:lineRule="exact"/>
        <w:ind w:left="0" w:firstLine="640" w:firstLineChars="200"/>
        <w:jc w:val="left"/>
        <w:rPr>
          <w:rFonts w:hint="eastAsia" w:ascii="仿宋_GB2312" w:hAnsi="仿宋_GB2312" w:eastAsia="仿宋_GB2312" w:cs="仿宋_GB2312"/>
          <w:sz w:val="32"/>
          <w:szCs w:val="32"/>
          <w:lang w:val="en-US" w:eastAsia="zh-CN"/>
        </w:rPr>
      </w:pPr>
      <w:r>
        <w:rPr>
          <w:rFonts w:hint="eastAsia" w:ascii="仿宋_GB2312" w:eastAsia="仿宋_GB2312" w:cs="Times New Roman"/>
          <w:sz w:val="32"/>
          <w:szCs w:val="32"/>
          <w:lang w:val="en-US" w:eastAsia="zh-CN" w:bidi="ar-SA"/>
        </w:rPr>
        <w:t>1、</w:t>
      </w:r>
      <w:r>
        <w:rPr>
          <w:rFonts w:hint="eastAsia" w:ascii="仿宋_GB2312" w:hAnsi="Times New Roman" w:eastAsia="仿宋_GB2312" w:cs="Times New Roman"/>
          <w:sz w:val="32"/>
          <w:szCs w:val="32"/>
          <w:lang w:val="en-US" w:eastAsia="zh-CN" w:bidi="ar-SA"/>
        </w:rPr>
        <w:t>确定项目决策的范畴：根据项目的阶段和内容，确定哪些方面的决策需要被记录和总结，包括目标、资源、进度、风险等方面。</w:t>
      </w:r>
      <w:r>
        <w:rPr>
          <w:rFonts w:hint="eastAsia" w:ascii="仿宋_GB2312" w:hAnsi="Times New Roman" w:eastAsia="仿宋_GB2312" w:cs="Times New Roman"/>
          <w:sz w:val="32"/>
          <w:szCs w:val="32"/>
          <w:lang w:val="en-US" w:eastAsia="zh-CN" w:bidi="ar-SA"/>
        </w:rPr>
        <w:br w:type="textWrapping"/>
      </w:r>
      <w:r>
        <w:rPr>
          <w:rFonts w:hint="eastAsia" w:ascii="仿宋_GB2312" w:eastAsia="仿宋_GB2312" w:cs="Times New Roman"/>
          <w:sz w:val="32"/>
          <w:szCs w:val="32"/>
          <w:lang w:val="en-US" w:eastAsia="zh-CN" w:bidi="ar-SA"/>
        </w:rPr>
        <w:t xml:space="preserve">    </w:t>
      </w:r>
      <w:r>
        <w:rPr>
          <w:rFonts w:hint="eastAsia" w:ascii="仿宋_GB2312" w:hAnsi="Times New Roman" w:eastAsia="仿宋_GB2312" w:cs="Times New Roman"/>
          <w:sz w:val="32"/>
          <w:szCs w:val="32"/>
          <w:lang w:val="en-US" w:eastAsia="zh-CN" w:bidi="ar-SA"/>
        </w:rPr>
        <w:t>2、梳理并整理决策信息：收集和整理涉及到的各种决策信息，包括决策的时间、主要内容、影响因素和决策结果等方面。</w:t>
      </w:r>
      <w:r>
        <w:rPr>
          <w:rFonts w:hint="eastAsia" w:ascii="仿宋_GB2312" w:hAnsi="Times New Roman" w:eastAsia="仿宋_GB2312" w:cs="Times New Roman"/>
          <w:sz w:val="32"/>
          <w:szCs w:val="32"/>
          <w:lang w:val="en-US" w:eastAsia="zh-CN" w:bidi="ar-SA"/>
        </w:rPr>
        <w:br w:type="textWrapping"/>
      </w:r>
      <w:r>
        <w:rPr>
          <w:rFonts w:hint="eastAsia" w:ascii="仿宋_GB2312" w:eastAsia="仿宋_GB2312" w:cs="Times New Roman"/>
          <w:sz w:val="32"/>
          <w:szCs w:val="32"/>
          <w:lang w:val="en-US" w:eastAsia="zh-CN" w:bidi="ar-SA"/>
        </w:rPr>
        <w:t xml:space="preserve">    </w:t>
      </w:r>
      <w:r>
        <w:rPr>
          <w:rFonts w:hint="eastAsia" w:ascii="仿宋_GB2312" w:hAnsi="Times New Roman" w:eastAsia="仿宋_GB2312" w:cs="Times New Roman"/>
          <w:sz w:val="32"/>
          <w:szCs w:val="32"/>
          <w:lang w:val="en-US" w:eastAsia="zh-CN" w:bidi="ar-SA"/>
        </w:rPr>
        <w:t>3、分析和评价决策效果：对每一项决策进行分析和评价，考察其是否符合预期目标，产生积极的效果，以及存在的问题和不足之处等。</w:t>
      </w:r>
    </w:p>
    <w:p>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pPr>
        <w:pStyle w:val="4"/>
        <w:widowControl w:val="0"/>
        <w:spacing w:before="0" w:beforeAutospacing="0" w:after="0" w:afterAutospacing="0" w:line="560" w:lineRule="exact"/>
        <w:rPr>
          <w:rFonts w:hint="eastAsia" w:ascii="仿宋_GB2312" w:hAnsi="仿宋_GB2312" w:eastAsia="仿宋_GB2312" w:cs="仿宋_GB2312"/>
          <w:sz w:val="32"/>
          <w:szCs w:val="32"/>
        </w:rPr>
      </w:pPr>
      <w:r>
        <w:rPr>
          <w:rFonts w:hint="eastAsia" w:ascii="仿宋_GB2312" w:hAnsi="Times New Roman" w:eastAsia="仿宋_GB2312" w:cs="Times New Roman"/>
          <w:sz w:val="32"/>
          <w:szCs w:val="32"/>
          <w:lang w:val="en-US" w:eastAsia="zh-CN" w:bidi="ar-SA"/>
        </w:rPr>
        <w:t>严格执行项目活动申报、审核、拨付、管理等全过程，实行了全面负责。</w:t>
      </w:r>
    </w:p>
    <w:p>
      <w:pPr>
        <w:bidi w:val="0"/>
        <w:rPr>
          <w:rFonts w:hint="eastAsia"/>
        </w:rPr>
      </w:pPr>
      <w:r>
        <w:rPr>
          <w:rFonts w:hint="eastAsia"/>
          <w:lang w:eastAsia="zh-CN"/>
        </w:rPr>
        <w:t>（</w:t>
      </w:r>
      <w:r>
        <w:rPr>
          <w:rFonts w:hint="eastAsia"/>
          <w:lang w:val="en-US" w:eastAsia="zh-CN"/>
        </w:rPr>
        <w:t>三</w:t>
      </w:r>
      <w:r>
        <w:rPr>
          <w:rFonts w:hint="eastAsia"/>
          <w:lang w:eastAsia="zh-CN"/>
        </w:rPr>
        <w:t>）</w:t>
      </w:r>
      <w:r>
        <w:rPr>
          <w:rFonts w:hint="eastAsia"/>
        </w:rPr>
        <w:t>项目产出情况。</w:t>
      </w:r>
    </w:p>
    <w:p>
      <w:pPr>
        <w:bidi w:val="0"/>
        <w:rPr>
          <w:rFonts w:hint="default"/>
          <w:lang w:val="en-US" w:eastAsia="zh-CN"/>
        </w:rPr>
      </w:pPr>
      <w:r>
        <w:rPr>
          <w:rFonts w:hint="eastAsia"/>
          <w:lang w:val="en-US" w:eastAsia="zh-CN"/>
        </w:rPr>
        <w:t>数量指标：体育健身器材维修次数1次/月；培养体育人才108人；参加体育比赛获奖5次。</w:t>
      </w:r>
    </w:p>
    <w:p>
      <w:pPr>
        <w:bidi w:val="0"/>
        <w:rPr>
          <w:rFonts w:hint="eastAsia"/>
          <w:lang w:val="en-US" w:eastAsia="zh-CN"/>
        </w:rPr>
      </w:pPr>
      <w:r>
        <w:rPr>
          <w:rFonts w:hint="eastAsia"/>
          <w:lang w:val="en-US" w:eastAsia="zh-CN"/>
        </w:rPr>
        <w:t>质量指标：体育器材维修合格率100%，参加体育比赛获奖数≥5次；</w:t>
      </w:r>
    </w:p>
    <w:p>
      <w:pPr>
        <w:bidi w:val="0"/>
        <w:rPr>
          <w:rFonts w:hint="eastAsia"/>
          <w:lang w:val="en-US" w:eastAsia="zh-CN"/>
        </w:rPr>
      </w:pPr>
      <w:r>
        <w:rPr>
          <w:rFonts w:hint="eastAsia"/>
          <w:lang w:val="en-US" w:eastAsia="zh-CN"/>
        </w:rPr>
        <w:t>时效指标：2023年12月31日之前完成；</w:t>
      </w:r>
    </w:p>
    <w:p>
      <w:pPr>
        <w:bidi w:val="0"/>
        <w:rPr>
          <w:rFonts w:hint="eastAsia"/>
        </w:rPr>
      </w:pPr>
      <w:r>
        <w:rPr>
          <w:rFonts w:hint="eastAsia"/>
          <w:lang w:val="en-US" w:eastAsia="zh-CN"/>
        </w:rPr>
        <w:t>成本指标：健身器材购置及维修费用≤40万，体育人才培养费用20万。</w:t>
      </w:r>
    </w:p>
    <w:p>
      <w:pPr>
        <w:numPr>
          <w:ilvl w:val="0"/>
          <w:numId w:val="2"/>
        </w:numPr>
        <w:spacing w:line="560" w:lineRule="exact"/>
        <w:ind w:left="-8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pPr>
        <w:bidi w:val="0"/>
        <w:rPr>
          <w:rFonts w:hint="eastAsia"/>
          <w:lang w:val="en-US" w:eastAsia="zh-CN"/>
        </w:rPr>
      </w:pPr>
      <w:r>
        <w:rPr>
          <w:rFonts w:hint="eastAsia"/>
          <w:lang w:val="en-US" w:eastAsia="zh-CN"/>
        </w:rPr>
        <w:t>社会效益指标：</w:t>
      </w:r>
      <w:r>
        <w:rPr>
          <w:rFonts w:hint="eastAsia"/>
        </w:rPr>
        <w:t>加强体育发展，提高全民体质</w:t>
      </w:r>
      <w:r>
        <w:rPr>
          <w:rFonts w:hint="eastAsia"/>
          <w:lang w:val="en-US" w:eastAsia="zh-CN"/>
        </w:rPr>
        <w:t>；</w:t>
      </w:r>
    </w:p>
    <w:p>
      <w:pPr>
        <w:bidi w:val="0"/>
        <w:rPr>
          <w:rFonts w:hint="eastAsia" w:eastAsia="宋体"/>
          <w:lang w:val="en-US" w:eastAsia="zh-CN"/>
        </w:rPr>
      </w:pPr>
      <w:r>
        <w:rPr>
          <w:rFonts w:hint="eastAsia"/>
          <w:lang w:val="en-US" w:eastAsia="zh-CN"/>
        </w:rPr>
        <w:t>可持续影响指标：</w:t>
      </w:r>
      <w:r>
        <w:rPr>
          <w:rFonts w:hint="eastAsia"/>
        </w:rPr>
        <w:t>加强体育发展，提高全民体质</w:t>
      </w:r>
      <w:r>
        <w:rPr>
          <w:rFonts w:hint="eastAsia"/>
          <w:lang w:eastAsia="zh-CN"/>
        </w:rPr>
        <w:t>。</w:t>
      </w:r>
    </w:p>
    <w:p>
      <w:pPr>
        <w:numPr>
          <w:ilvl w:val="0"/>
          <w:numId w:val="3"/>
        </w:numPr>
        <w:spacing w:line="560" w:lineRule="exact"/>
        <w:ind w:left="0" w:leftChars="0"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主要经验及做法、存在的问题及原因分析</w:t>
      </w:r>
    </w:p>
    <w:p>
      <w:pPr>
        <w:bidi w:val="0"/>
        <w:rPr>
          <w:rFonts w:hint="default"/>
          <w:lang w:val="en-US" w:eastAsia="zh-CN"/>
        </w:rPr>
      </w:pPr>
      <w:r>
        <w:rPr>
          <w:rFonts w:hint="eastAsia"/>
          <w:lang w:val="en-US" w:eastAsia="zh-CN"/>
        </w:rPr>
        <w:t xml:space="preserve"> 无</w:t>
      </w:r>
    </w:p>
    <w:p>
      <w:pPr>
        <w:numPr>
          <w:ilvl w:val="0"/>
          <w:numId w:val="3"/>
        </w:numPr>
        <w:spacing w:line="560" w:lineRule="exact"/>
        <w:ind w:left="0" w:leftChars="0"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有关建议</w:t>
      </w:r>
    </w:p>
    <w:p>
      <w:pPr>
        <w:keepNext w:val="0"/>
        <w:keepLines w:val="0"/>
        <w:pageBreakBefore w:val="0"/>
        <w:widowControl w:val="0"/>
        <w:kinsoku/>
        <w:wordWrap/>
        <w:overflowPunct/>
        <w:topLinePunct w:val="0"/>
        <w:autoSpaceDE/>
        <w:autoSpaceDN/>
        <w:bidi w:val="0"/>
        <w:adjustRightInd/>
        <w:snapToGrid/>
        <w:jc w:val="left"/>
        <w:textAlignment w:val="bottom"/>
        <w:rPr>
          <w:rFonts w:hint="default"/>
          <w:lang w:val="en-US" w:eastAsia="zh-CN"/>
        </w:rPr>
      </w:pPr>
      <w:r>
        <w:rPr>
          <w:rFonts w:hint="eastAsia"/>
          <w:lang w:val="en-US" w:eastAsia="zh-CN"/>
        </w:rPr>
        <w:t xml:space="preserve"> 无</w:t>
      </w:r>
    </w:p>
    <w:p>
      <w:pPr>
        <w:numPr>
          <w:ilvl w:val="0"/>
          <w:numId w:val="3"/>
        </w:numPr>
        <w:spacing w:line="560" w:lineRule="exact"/>
        <w:ind w:left="0" w:leftChars="0" w:firstLine="643" w:firstLineChars="200"/>
        <w:jc w:val="left"/>
        <w:rPr>
          <w:rFonts w:hint="eastAsia"/>
        </w:rPr>
      </w:pPr>
      <w:r>
        <w:rPr>
          <w:rFonts w:hint="eastAsia" w:ascii="宋体" w:hAnsi="宋体" w:eastAsia="宋体" w:cs="宋体"/>
          <w:b/>
          <w:bCs w:val="0"/>
          <w:sz w:val="32"/>
          <w:szCs w:val="32"/>
        </w:rPr>
        <w:t>其他需要说明的问题</w:t>
      </w:r>
    </w:p>
    <w:p>
      <w:pPr>
        <w:pStyle w:val="4"/>
        <w:widowControl w:val="0"/>
        <w:spacing w:before="0" w:beforeAutospacing="0" w:after="0" w:afterAutospacing="0"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4"/>
        <w:widowControl w:val="0"/>
        <w:spacing w:before="0" w:beforeAutospacing="0" w:after="0" w:afterAutospacing="0" w:line="520" w:lineRule="exact"/>
        <w:rPr>
          <w:rFonts w:hint="eastAsia" w:ascii="仿宋_GB2312" w:hAnsi="仿宋_GB2312" w:eastAsia="仿宋_GB2312" w:cs="仿宋_GB2312"/>
          <w:sz w:val="32"/>
          <w:szCs w:val="32"/>
        </w:rPr>
      </w:pPr>
    </w:p>
    <w:p>
      <w:pPr>
        <w:ind w:left="8960" w:hanging="8960" w:hangingChars="28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新晃侗族自治县文化旅游广电体育局</w:t>
      </w:r>
      <w:r>
        <w:rPr>
          <w:rFonts w:hint="eastAsia" w:ascii="仿宋_GB2312" w:hAnsi="仿宋_GB2312" w:eastAsia="仿宋_GB2312" w:cs="仿宋_GB2312"/>
          <w:sz w:val="32"/>
          <w:szCs w:val="32"/>
        </w:rPr>
        <w:t xml:space="preserve">                       </w:t>
      </w:r>
    </w:p>
    <w:p>
      <w:pPr>
        <w:ind w:firstLine="4800" w:firstLineChars="15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560"/>
      </w:pPr>
      <w:r>
        <w:separator/>
      </w:r>
    </w:p>
  </w:footnote>
  <w:footnote w:type="continuationSeparator" w:id="1">
    <w:p>
      <w:pPr>
        <w:spacing w:line="30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6B8571"/>
    <w:multiLevelType w:val="singleLevel"/>
    <w:tmpl w:val="976B8571"/>
    <w:lvl w:ilvl="0" w:tentative="0">
      <w:start w:val="3"/>
      <w:numFmt w:val="chineseCounting"/>
      <w:suff w:val="nothing"/>
      <w:lvlText w:val="%1、"/>
      <w:lvlJc w:val="left"/>
      <w:rPr>
        <w:rFonts w:hint="eastAsia"/>
        <w:b/>
        <w:bCs/>
      </w:rPr>
    </w:lvl>
  </w:abstractNum>
  <w:abstractNum w:abstractNumId="1">
    <w:nsid w:val="C761088B"/>
    <w:multiLevelType w:val="singleLevel"/>
    <w:tmpl w:val="C761088B"/>
    <w:lvl w:ilvl="0" w:tentative="0">
      <w:start w:val="2"/>
      <w:numFmt w:val="chineseCounting"/>
      <w:suff w:val="nothing"/>
      <w:lvlText w:val="（%1）"/>
      <w:lvlJc w:val="left"/>
      <w:pPr>
        <w:ind w:left="-80"/>
      </w:pPr>
      <w:rPr>
        <w:rFonts w:hint="eastAsia"/>
      </w:rPr>
    </w:lvl>
  </w:abstractNum>
  <w:abstractNum w:abstractNumId="2">
    <w:nsid w:val="F1FF361E"/>
    <w:multiLevelType w:val="singleLevel"/>
    <w:tmpl w:val="F1FF361E"/>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OGExNWIxYmYzZDJkNDNjNjIyYmY3YTI4ZmMwOGIifQ=="/>
  </w:docVars>
  <w:rsids>
    <w:rsidRoot w:val="430E62D4"/>
    <w:rsid w:val="0E3D754E"/>
    <w:rsid w:val="1A142C46"/>
    <w:rsid w:val="430E62D4"/>
    <w:rsid w:val="49CB3932"/>
    <w:rsid w:val="5F4146C0"/>
    <w:rsid w:val="618E04B3"/>
    <w:rsid w:val="646B6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00" w:lineRule="auto"/>
      <w:ind w:left="0" w:firstLine="482" w:firstLineChars="200"/>
      <w:jc w:val="both"/>
      <w:textAlignment w:val="bottom"/>
    </w:pPr>
    <w:rPr>
      <w:rFonts w:ascii="Times New Roman" w:hAnsi="Times New Roman" w:eastAsia="宋体" w:cs="Times New Roman"/>
      <w:sz w:val="28"/>
      <w:lang w:val="en-US" w:eastAsia="zh-CN" w:bidi="ar-SA"/>
    </w:rPr>
  </w:style>
  <w:style w:type="paragraph" w:styleId="3">
    <w:name w:val="heading 3"/>
    <w:basedOn w:val="1"/>
    <w:next w:val="1"/>
    <w:autoRedefine/>
    <w:unhideWhenUsed/>
    <w:qFormat/>
    <w:uiPriority w:val="0"/>
    <w:pPr>
      <w:keepNext/>
      <w:keepLines/>
      <w:spacing w:beforeLines="0" w:beforeAutospacing="0" w:afterLines="0" w:afterAutospacing="0" w:line="300" w:lineRule="auto"/>
      <w:outlineLvl w:val="2"/>
    </w:pPr>
    <w:rPr>
      <w:rFonts w:ascii="Times New Roman" w:hAnsi="Times New Roman" w:eastAsia="宋体"/>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BodyText1I"/>
    <w:basedOn w:val="1"/>
    <w:autoRedefine/>
    <w:qFormat/>
    <w:uiPriority w:val="99"/>
    <w:pPr>
      <w:snapToGrid w:val="0"/>
      <w:spacing w:line="360" w:lineRule="auto"/>
      <w:ind w:firstLine="420" w:firstLineChars="100"/>
    </w:pPr>
    <w:rPr>
      <w:sz w:val="28"/>
      <w:szCs w:val="20"/>
    </w:rPr>
  </w:style>
  <w:style w:type="paragraph" w:styleId="4">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2024-04-08T07:42:00Z</dcterms:created>
  <dc:creator>Administrator</dc:creator>
  <cp:lastModifiedBy>Administrator</cp:lastModifiedBy>
  <dcterms:modified xsi:type="dcterms:W3CDTF">2024-04-18T01:28:14Z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CCD29ED299104C0F9BAC0D6EE54D56A7_13</vt:lpwstr>
  </property>
</Properties>
</file>