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157" w:afterLines="50" w:afterAutospacing="0" w:line="560" w:lineRule="exact"/>
        <w:ind w:left="0"/>
        <w:jc w:val="left"/>
        <w:textAlignment w:val="bottom"/>
        <w:rPr>
          <w:rFonts w:hint="default" w:ascii="仿宋_GB2312" w:hAnsi="仿宋_GB2312" w:eastAsia="仿宋_GB2312" w:cs="仿宋_GB2312"/>
          <w:sz w:val="24"/>
          <w:lang w:val="en-US" w:eastAsia="zh-CN"/>
        </w:rPr>
      </w:pPr>
      <w:r>
        <w:rPr>
          <w:rFonts w:hint="eastAsia" w:ascii="仿宋_GB2312" w:hAnsi="仿宋_GB2312" w:eastAsia="仿宋_GB2312" w:cs="仿宋_GB2312"/>
          <w:b/>
          <w:sz w:val="32"/>
          <w:szCs w:val="32"/>
        </w:rPr>
        <w:t>附件2-1</w:t>
      </w:r>
    </w:p>
    <w:p>
      <w:pPr>
        <w:keepNext w:val="0"/>
        <w:keepLines w:val="0"/>
        <w:pageBreakBefore w:val="0"/>
        <w:widowControl w:val="0"/>
        <w:kinsoku/>
        <w:wordWrap/>
        <w:overflowPunct/>
        <w:topLinePunct w:val="0"/>
        <w:autoSpaceDE/>
        <w:autoSpaceDN/>
        <w:bidi w:val="0"/>
        <w:adjustRightInd/>
        <w:snapToGrid/>
        <w:spacing w:line="440" w:lineRule="exact"/>
        <w:ind w:left="0"/>
        <w:jc w:val="center"/>
        <w:textAlignment w:val="bottom"/>
        <w:rPr>
          <w:rFonts w:ascii="黑体" w:hAnsi="黑体" w:eastAsia="黑体"/>
          <w:bCs/>
          <w:w w:val="85"/>
          <w:sz w:val="36"/>
          <w:szCs w:val="36"/>
        </w:rPr>
      </w:pPr>
      <w:r>
        <w:rPr>
          <w:rFonts w:ascii="黑体" w:hAnsi="黑体" w:eastAsia="黑体"/>
          <w:bCs/>
          <w:w w:val="85"/>
          <w:sz w:val="36"/>
          <w:szCs w:val="36"/>
        </w:rPr>
        <w:t>202</w:t>
      </w:r>
      <w:r>
        <w:rPr>
          <w:rFonts w:hint="eastAsia" w:ascii="黑体" w:hAnsi="黑体" w:eastAsia="黑体"/>
          <w:bCs/>
          <w:w w:val="85"/>
          <w:sz w:val="36"/>
          <w:szCs w:val="36"/>
          <w:lang w:eastAsia="zh-CN"/>
        </w:rPr>
        <w:t>3</w:t>
      </w:r>
      <w:r>
        <w:rPr>
          <w:rFonts w:ascii="黑体" w:hAnsi="黑体" w:eastAsia="黑体"/>
          <w:bCs/>
          <w:w w:val="85"/>
          <w:sz w:val="36"/>
          <w:szCs w:val="36"/>
        </w:rPr>
        <w:t>年度新晃县项目</w:t>
      </w:r>
      <w:r>
        <w:rPr>
          <w:rFonts w:hint="eastAsia" w:ascii="黑体" w:hAnsi="黑体" w:eastAsia="黑体"/>
          <w:bCs/>
          <w:w w:val="85"/>
          <w:sz w:val="36"/>
          <w:szCs w:val="36"/>
        </w:rPr>
        <w:t>支出</w:t>
      </w:r>
      <w:r>
        <w:rPr>
          <w:rFonts w:ascii="黑体" w:hAnsi="黑体" w:eastAsia="黑体"/>
          <w:bCs/>
          <w:w w:val="85"/>
          <w:sz w:val="36"/>
          <w:szCs w:val="36"/>
        </w:rPr>
        <w:t>绩效</w:t>
      </w:r>
      <w:r>
        <w:rPr>
          <w:rFonts w:hint="eastAsia" w:ascii="黑体" w:hAnsi="黑体" w:eastAsia="黑体"/>
          <w:bCs/>
          <w:w w:val="85"/>
          <w:sz w:val="36"/>
          <w:szCs w:val="36"/>
        </w:rPr>
        <w:t>自评</w:t>
      </w:r>
      <w:r>
        <w:rPr>
          <w:rFonts w:ascii="黑体" w:hAnsi="黑体" w:eastAsia="黑体"/>
          <w:bCs/>
          <w:w w:val="85"/>
          <w:sz w:val="36"/>
          <w:szCs w:val="36"/>
        </w:rPr>
        <w:t>表</w:t>
      </w:r>
    </w:p>
    <w:p>
      <w:pPr>
        <w:spacing w:before="156" w:beforeLines="50" w:line="240" w:lineRule="exact"/>
        <w:ind w:firstLine="482"/>
        <w:jc w:val="center"/>
        <w:rPr>
          <w:rFonts w:eastAsia="仿宋_GB2312"/>
          <w:szCs w:val="21"/>
        </w:rPr>
      </w:pPr>
      <w:r>
        <w:rPr>
          <w:sz w:val="24"/>
        </w:rPr>
        <w:t xml:space="preserve">                                                </w:t>
      </w:r>
      <w:r>
        <w:rPr>
          <w:rFonts w:hint="eastAsia"/>
          <w:sz w:val="24"/>
        </w:rPr>
        <w:t xml:space="preserve">    </w:t>
      </w:r>
      <w:r>
        <w:rPr>
          <w:sz w:val="24"/>
        </w:rPr>
        <w:t xml:space="preserve"> </w:t>
      </w:r>
      <w:r>
        <w:rPr>
          <w:rFonts w:hint="eastAsia"/>
          <w:sz w:val="24"/>
          <w:lang w:val="en-US" w:eastAsia="zh-CN"/>
        </w:rPr>
        <w:t xml:space="preserve"> </w:t>
      </w:r>
      <w:r>
        <w:rPr>
          <w:rFonts w:eastAsia="仿宋_GB2312"/>
          <w:szCs w:val="21"/>
        </w:rPr>
        <w:t>金额单位：万元</w:t>
      </w:r>
    </w:p>
    <w:tbl>
      <w:tblPr>
        <w:tblStyle w:val="3"/>
        <w:tblpPr w:leftFromText="180" w:rightFromText="180" w:vertAnchor="text" w:horzAnchor="page" w:tblpX="1195" w:tblpY="107"/>
        <w:tblOverlap w:val="never"/>
        <w:tblW w:w="988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12"/>
        <w:gridCol w:w="1143"/>
        <w:gridCol w:w="2527"/>
        <w:gridCol w:w="1137"/>
        <w:gridCol w:w="861"/>
        <w:gridCol w:w="1206"/>
        <w:gridCol w:w="832"/>
        <w:gridCol w:w="87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称</w:t>
            </w:r>
          </w:p>
        </w:tc>
        <w:tc>
          <w:tcPr>
            <w:tcW w:w="3670"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新晃侗族自治县文化旅游广电体育局</w:t>
            </w:r>
            <w:r>
              <w:rPr>
                <w:rFonts w:hint="eastAsia" w:ascii="仿宋_GB2312" w:hAnsi="仿宋_GB2312" w:eastAsia="仿宋_GB2312" w:cs="仿宋_GB2312"/>
                <w:szCs w:val="21"/>
                <w:lang w:val="en-US" w:eastAsia="zh-CN"/>
              </w:rPr>
              <w:tab/>
            </w:r>
            <w:r>
              <w:rPr>
                <w:rFonts w:hint="eastAsia" w:ascii="仿宋_GB2312" w:hAnsi="仿宋_GB2312" w:eastAsia="仿宋_GB2312" w:cs="仿宋_GB2312"/>
                <w:szCs w:val="21"/>
                <w:lang w:val="en-US" w:eastAsia="zh-CN"/>
              </w:rPr>
              <w:t xml:space="preserve">               </w:t>
            </w:r>
          </w:p>
        </w:tc>
        <w:tc>
          <w:tcPr>
            <w:tcW w:w="113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3769"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专项业务费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目</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3670"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新晃侗族自治县文化旅游广电体育局</w:t>
            </w:r>
            <w:r>
              <w:rPr>
                <w:rFonts w:hint="eastAsia" w:ascii="仿宋_GB2312" w:hAnsi="仿宋_GB2312" w:eastAsia="仿宋_GB2312" w:cs="仿宋_GB2312"/>
                <w:szCs w:val="21"/>
                <w:lang w:val="en-US" w:eastAsia="zh-CN"/>
              </w:rPr>
              <w:tab/>
            </w:r>
            <w:r>
              <w:rPr>
                <w:rFonts w:hint="eastAsia" w:ascii="仿宋_GB2312" w:hAnsi="仿宋_GB2312" w:eastAsia="仿宋_GB2312" w:cs="仿宋_GB2312"/>
                <w:szCs w:val="21"/>
                <w:lang w:val="en-US" w:eastAsia="zh-CN"/>
              </w:rPr>
              <w:t xml:space="preserve"> </w:t>
            </w:r>
          </w:p>
        </w:tc>
        <w:tc>
          <w:tcPr>
            <w:tcW w:w="113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861"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许林城</w:t>
            </w:r>
            <w:bookmarkStart w:id="0" w:name="_GoBack"/>
            <w:bookmarkEnd w:id="0"/>
          </w:p>
        </w:tc>
        <w:tc>
          <w:tcPr>
            <w:tcW w:w="120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6222245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252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13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067"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252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47.66</w:t>
            </w:r>
          </w:p>
        </w:tc>
        <w:tc>
          <w:tcPr>
            <w:tcW w:w="113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2067"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47.66</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31"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管理水平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本项目建立了专项业务项目管理制度，并严格按相关制度执行。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我局严格按照县财政相关政策制度管理、使用各项资金，并根据《会计法》、《预算法》等法规制订了单位财务管理、办公物资采购管理、固定资产管理等多项财务规章制度，专项资金的开支，均需要各部门严格控制，层层审批，确保专款专用。</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数量指标：开展党建活动≥2次，开展安全生产、综治等行动1次/月；</w:t>
            </w:r>
          </w:p>
          <w:p>
            <w:pPr>
              <w:spacing w:line="30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质量指标：安全生产事故发生率0%；</w:t>
            </w:r>
          </w:p>
          <w:p>
            <w:pPr>
              <w:spacing w:line="30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时效指标：2023年12月31日之前完成；</w:t>
            </w:r>
          </w:p>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成本指标：专项经费≤47.66万元。</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29</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社会效益指标：保障新晃县文旅广电体育事业在安全的生产的基础上高质量发展；提高人民群众生活质量；</w:t>
            </w:r>
          </w:p>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可持续影响指标：加强文化旅游广电体育事业发展。</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29</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服务对象满意度计分：90%≤满意度≤100%记10分，80%≤满意度&lt;90%记8分，70%≤满意度&lt;80%   记6分，</w:t>
            </w:r>
          </w:p>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60%≤满意度&lt;70%记4分，满意度&lt;60%记0分。</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98</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98</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 xml:space="preserve">分；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 差   得分＜60分</w:t>
            </w:r>
          </w:p>
        </w:tc>
      </w:tr>
    </w:tbl>
    <w:p>
      <w:pPr>
        <w:spacing w:line="320" w:lineRule="exact"/>
        <w:ind w:left="0"/>
        <w:jc w:val="left"/>
        <w:rPr>
          <w:rFonts w:hint="eastAsia" w:ascii="仿宋_GB2312" w:hAnsi="仿宋_GB2312" w:eastAsia="仿宋_GB2312" w:cs="仿宋_GB2312"/>
          <w:szCs w:val="21"/>
        </w:rPr>
      </w:pPr>
    </w:p>
    <w:p>
      <w:pPr>
        <w:spacing w:line="320" w:lineRule="exact"/>
        <w:ind w:left="0"/>
        <w:jc w:val="left"/>
        <w:rPr>
          <w:rFonts w:hint="eastAsia" w:ascii="仿宋_GB2312" w:hAnsi="仿宋_GB2312" w:eastAsia="仿宋_GB2312" w:cs="仿宋_GB2312"/>
          <w:szCs w:val="21"/>
        </w:rPr>
        <w:sectPr>
          <w:pgSz w:w="11906" w:h="16838"/>
          <w:pgMar w:top="873" w:right="1800" w:bottom="760" w:left="1800" w:header="851" w:footer="992" w:gutter="0"/>
          <w:cols w:space="425" w:num="1"/>
          <w:docGrid w:type="lines" w:linePitch="312" w:charSpace="0"/>
        </w:sectPr>
      </w:pPr>
      <w:r>
        <w:rPr>
          <w:rFonts w:hint="eastAsia" w:ascii="仿宋_GB2312" w:hAnsi="仿宋_GB2312" w:eastAsia="仿宋_GB2312" w:cs="仿宋_GB2312"/>
          <w:szCs w:val="21"/>
        </w:rPr>
        <w:t xml:space="preserve">单位负责人（签字）：            项目负责人（签字）：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填表日期：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年   月   日</w:t>
      </w:r>
    </w:p>
    <w:p>
      <w:pPr>
        <w:keepNext w:val="0"/>
        <w:keepLines w:val="0"/>
        <w:pageBreakBefore w:val="0"/>
        <w:kinsoku/>
        <w:wordWrap/>
        <w:overflowPunct/>
        <w:topLinePunct w:val="0"/>
        <w:autoSpaceDE/>
        <w:autoSpaceDN/>
        <w:bidi w:val="0"/>
        <w:adjustRightInd/>
        <w:spacing w:before="240" w:line="560" w:lineRule="exact"/>
        <w:jc w:val="left"/>
        <w:rPr>
          <w:rFonts w:hint="eastAsia" w:ascii="仿宋_GB2312" w:eastAsia="仿宋_GB2312"/>
          <w:b/>
          <w:sz w:val="32"/>
          <w:szCs w:val="32"/>
        </w:rPr>
      </w:pPr>
      <w:r>
        <w:rPr>
          <w:rFonts w:hint="eastAsia" w:ascii="仿宋_GB2312" w:hAnsi="仿宋_GB2312" w:eastAsia="仿宋_GB2312" w:cs="仿宋_GB2312"/>
          <w:b/>
          <w:sz w:val="32"/>
          <w:szCs w:val="32"/>
        </w:rPr>
        <w:t>附件2-3 </w:t>
      </w:r>
    </w:p>
    <w:p>
      <w:pPr>
        <w:keepNext w:val="0"/>
        <w:keepLines w:val="0"/>
        <w:pageBreakBefore w:val="0"/>
        <w:kinsoku/>
        <w:wordWrap/>
        <w:overflowPunct/>
        <w:topLinePunct w:val="0"/>
        <w:autoSpaceDE/>
        <w:autoSpaceDN/>
        <w:bidi w:val="0"/>
        <w:adjustRightInd/>
        <w:spacing w:line="600" w:lineRule="exact"/>
        <w:jc w:val="center"/>
        <w:rPr>
          <w:rFonts w:hint="eastAsia" w:ascii="黑体" w:hAnsi="黑体" w:eastAsia="黑体"/>
          <w:bCs/>
          <w:w w:val="85"/>
          <w:sz w:val="36"/>
          <w:szCs w:val="36"/>
        </w:rPr>
      </w:pPr>
      <w:r>
        <w:rPr>
          <w:rFonts w:eastAsia="黑体"/>
          <w:bCs/>
          <w:w w:val="85"/>
          <w:sz w:val="44"/>
          <w:szCs w:val="44"/>
        </w:rPr>
        <w:t> </w:t>
      </w:r>
      <w:r>
        <w:rPr>
          <w:rFonts w:ascii="黑体" w:hAnsi="黑体" w:eastAsia="黑体"/>
          <w:bCs/>
          <w:w w:val="85"/>
          <w:sz w:val="36"/>
          <w:szCs w:val="36"/>
        </w:rPr>
        <w:t>202</w:t>
      </w:r>
      <w:r>
        <w:rPr>
          <w:rFonts w:hint="eastAsia" w:ascii="黑体" w:hAnsi="黑体" w:eastAsia="黑体"/>
          <w:bCs/>
          <w:w w:val="85"/>
          <w:sz w:val="36"/>
          <w:szCs w:val="36"/>
          <w:lang w:eastAsia="zh-CN"/>
        </w:rPr>
        <w:t>3</w:t>
      </w:r>
      <w:r>
        <w:rPr>
          <w:rFonts w:ascii="黑体" w:hAnsi="黑体" w:eastAsia="黑体"/>
          <w:bCs/>
          <w:w w:val="85"/>
          <w:sz w:val="36"/>
          <w:szCs w:val="36"/>
        </w:rPr>
        <w:t>年度新晃县</w:t>
      </w:r>
      <w:r>
        <w:rPr>
          <w:rFonts w:hint="eastAsia" w:ascii="黑体" w:hAnsi="黑体" w:eastAsia="黑体"/>
          <w:bCs/>
          <w:w w:val="85"/>
          <w:sz w:val="36"/>
          <w:szCs w:val="36"/>
        </w:rPr>
        <w:t>项目</w:t>
      </w:r>
      <w:r>
        <w:rPr>
          <w:rFonts w:ascii="黑体" w:hAnsi="黑体" w:eastAsia="黑体"/>
          <w:bCs/>
          <w:w w:val="85"/>
          <w:sz w:val="36"/>
          <w:szCs w:val="36"/>
        </w:rPr>
        <w:t>支出</w:t>
      </w:r>
      <w:r>
        <w:rPr>
          <w:rFonts w:hint="eastAsia" w:ascii="黑体" w:hAnsi="黑体" w:eastAsia="黑体"/>
          <w:bCs/>
          <w:w w:val="85"/>
          <w:sz w:val="36"/>
          <w:szCs w:val="36"/>
        </w:rPr>
        <w:t>绩效</w:t>
      </w:r>
      <w:r>
        <w:rPr>
          <w:rFonts w:ascii="黑体" w:hAnsi="黑体" w:eastAsia="黑体"/>
          <w:bCs/>
          <w:w w:val="85"/>
          <w:sz w:val="36"/>
          <w:szCs w:val="36"/>
        </w:rPr>
        <w:t>自评报告</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宋体" w:hAnsi="宋体"/>
          <w:bCs/>
          <w:sz w:val="32"/>
          <w:szCs w:val="32"/>
        </w:rPr>
      </w:pPr>
      <w:r>
        <w:rPr>
          <w:rFonts w:hint="eastAsia" w:ascii="宋体" w:hAnsi="宋体"/>
          <w:bCs/>
          <w:sz w:val="32"/>
          <w:szCs w:val="32"/>
        </w:rPr>
        <w:t>一、基本情况</w:t>
      </w:r>
    </w:p>
    <w:p>
      <w:pPr>
        <w:keepNext w:val="0"/>
        <w:keepLines w:val="0"/>
        <w:pageBreakBefore w:val="0"/>
        <w:kinsoku/>
        <w:wordWrap/>
        <w:overflowPunct/>
        <w:topLinePunct w:val="0"/>
        <w:autoSpaceDE/>
        <w:autoSpaceDN/>
        <w:bidi w:val="0"/>
        <w:adjustRightInd/>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（一）项目概况</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bottom"/>
        <w:rPr>
          <w:rFonts w:hint="eastAsia" w:ascii="仿宋_GB2312" w:hAnsi="Times New Roman" w:eastAsia="仿宋_GB2312" w:cs="Times New Roman"/>
          <w:sz w:val="32"/>
          <w:szCs w:val="32"/>
          <w:lang w:val="en-US" w:eastAsia="zh-CN" w:bidi="ar-SA"/>
        </w:rPr>
      </w:pPr>
      <w:r>
        <w:rPr>
          <w:rFonts w:hint="eastAsia" w:ascii="仿宋_GB2312" w:eastAsia="仿宋_GB2312" w:cs="Times New Roman"/>
          <w:sz w:val="32"/>
          <w:szCs w:val="32"/>
          <w:lang w:val="en-US" w:eastAsia="zh-CN" w:bidi="ar-SA"/>
        </w:rPr>
        <w:t>专项业务经费是保障全局各部门正常高效运行重要保障。</w:t>
      </w:r>
      <w:r>
        <w:rPr>
          <w:rFonts w:hint="eastAsia" w:ascii="仿宋_GB2312" w:hAnsi="Times New Roman" w:eastAsia="仿宋_GB2312" w:cs="Times New Roman"/>
          <w:sz w:val="32"/>
          <w:szCs w:val="32"/>
          <w:lang w:val="en-US" w:eastAsia="zh-CN" w:bidi="ar-SA"/>
        </w:rPr>
        <w:t>本项目主要依据我</w:t>
      </w:r>
      <w:r>
        <w:rPr>
          <w:rFonts w:hint="eastAsia" w:ascii="仿宋_GB2312" w:eastAsia="仿宋_GB2312" w:cs="Times New Roman"/>
          <w:sz w:val="32"/>
          <w:szCs w:val="32"/>
          <w:lang w:val="en-US" w:eastAsia="zh-CN" w:bidi="ar-SA"/>
        </w:rPr>
        <w:t>局</w:t>
      </w:r>
      <w:r>
        <w:rPr>
          <w:rFonts w:hint="eastAsia" w:ascii="仿宋_GB2312" w:hAnsi="Times New Roman" w:eastAsia="仿宋_GB2312" w:cs="Times New Roman"/>
          <w:sz w:val="32"/>
          <w:szCs w:val="32"/>
          <w:lang w:val="en-US" w:eastAsia="zh-CN" w:bidi="ar-SA"/>
        </w:rPr>
        <w:t>年度宣传培训</w:t>
      </w:r>
      <w:r>
        <w:rPr>
          <w:rFonts w:hint="eastAsia" w:ascii="仿宋_GB2312" w:eastAsia="仿宋_GB2312" w:cs="Times New Roman"/>
          <w:sz w:val="32"/>
          <w:szCs w:val="32"/>
          <w:lang w:val="en-US" w:eastAsia="zh-CN" w:bidi="ar-SA"/>
        </w:rPr>
        <w:t>、安全生产</w:t>
      </w:r>
      <w:r>
        <w:rPr>
          <w:rFonts w:hint="eastAsia" w:ascii="仿宋_GB2312" w:hAnsi="Times New Roman" w:eastAsia="仿宋_GB2312" w:cs="Times New Roman"/>
          <w:sz w:val="32"/>
          <w:szCs w:val="32"/>
          <w:lang w:val="en-US" w:eastAsia="zh-CN" w:bidi="ar-SA"/>
        </w:rPr>
        <w:t>工作</w:t>
      </w:r>
      <w:r>
        <w:rPr>
          <w:rFonts w:hint="eastAsia" w:ascii="仿宋_GB2312" w:eastAsia="仿宋_GB2312" w:cs="Times New Roman"/>
          <w:sz w:val="32"/>
          <w:szCs w:val="32"/>
          <w:lang w:val="en-US" w:eastAsia="zh-CN" w:bidi="ar-SA"/>
        </w:rPr>
        <w:t>，</w:t>
      </w:r>
      <w:r>
        <w:rPr>
          <w:rFonts w:hint="eastAsia" w:ascii="仿宋_GB2312" w:hAnsi="Times New Roman" w:eastAsia="仿宋_GB2312" w:cs="Times New Roman"/>
          <w:sz w:val="32"/>
          <w:szCs w:val="32"/>
          <w:lang w:val="en-US" w:eastAsia="zh-CN" w:bidi="ar-SA"/>
        </w:rPr>
        <w:t>加强文化旅游广电体育事业发展</w:t>
      </w:r>
      <w:r>
        <w:rPr>
          <w:rFonts w:hint="eastAsia" w:ascii="仿宋_GB2312" w:eastAsia="仿宋_GB2312" w:cs="Times New Roman"/>
          <w:sz w:val="32"/>
          <w:szCs w:val="32"/>
          <w:lang w:val="en-US" w:eastAsia="zh-CN" w:bidi="ar-SA"/>
        </w:rPr>
        <w:t>的需要。</w:t>
      </w:r>
      <w:r>
        <w:rPr>
          <w:rFonts w:hint="eastAsia" w:ascii="仿宋_GB2312" w:hAnsi="Times New Roman" w:eastAsia="仿宋_GB2312" w:cs="Times New Roman"/>
          <w:sz w:val="32"/>
          <w:szCs w:val="32"/>
          <w:lang w:val="en-US" w:eastAsia="zh-CN" w:bidi="ar-SA"/>
        </w:rPr>
        <w:t>项目资金主要用于新晃县文化旅游广电体育局办公室各成员开展专项业务工作支出；领导及干部职工开展各项公务活动、参加或召集各类工作培训会议；党建活动；开展安全生产、综治等行动；日常公务活动产生的各项支出。</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bottom"/>
        <w:rPr>
          <w:rFonts w:hint="eastAsia" w:ascii="仿宋_GB2312" w:hAnsi="Times New Roman" w:eastAsia="仿宋_GB2312" w:cs="Times New Roman"/>
          <w:sz w:val="32"/>
          <w:szCs w:val="32"/>
          <w:lang w:val="en-US" w:eastAsia="zh-CN" w:bidi="ar-SA"/>
        </w:rPr>
      </w:pPr>
      <w:r>
        <w:rPr>
          <w:rFonts w:hint="eastAsia" w:ascii="仿宋_GB2312" w:hAnsi="Times New Roman" w:eastAsia="仿宋_GB2312" w:cs="Times New Roman"/>
          <w:sz w:val="32"/>
          <w:szCs w:val="32"/>
          <w:lang w:val="en-US" w:eastAsia="zh-CN" w:bidi="ar-SA"/>
        </w:rPr>
        <w:t>截至202</w:t>
      </w:r>
      <w:r>
        <w:rPr>
          <w:rFonts w:hint="eastAsia" w:ascii="仿宋_GB2312" w:eastAsia="仿宋_GB2312" w:cs="Times New Roman"/>
          <w:sz w:val="32"/>
          <w:szCs w:val="32"/>
          <w:lang w:val="en-US" w:eastAsia="zh-CN" w:bidi="ar-SA"/>
        </w:rPr>
        <w:t>3</w:t>
      </w:r>
      <w:r>
        <w:rPr>
          <w:rFonts w:hint="eastAsia" w:ascii="仿宋_GB2312" w:hAnsi="Times New Roman" w:eastAsia="仿宋_GB2312" w:cs="Times New Roman"/>
          <w:sz w:val="32"/>
          <w:szCs w:val="32"/>
          <w:lang w:val="en-US" w:eastAsia="zh-CN" w:bidi="ar-SA"/>
        </w:rPr>
        <w:t>年12月31日，我局专项业务实际花费</w:t>
      </w:r>
      <w:r>
        <w:rPr>
          <w:rFonts w:hint="eastAsia" w:ascii="仿宋_GB2312" w:eastAsia="仿宋_GB2312" w:cs="Times New Roman"/>
          <w:sz w:val="32"/>
          <w:szCs w:val="32"/>
          <w:lang w:val="en-US" w:eastAsia="zh-CN" w:bidi="ar-SA"/>
        </w:rPr>
        <w:t>47.66</w:t>
      </w:r>
      <w:r>
        <w:rPr>
          <w:rFonts w:hint="eastAsia" w:ascii="仿宋_GB2312" w:hAnsi="Times New Roman" w:eastAsia="仿宋_GB2312" w:cs="Times New Roman"/>
          <w:sz w:val="32"/>
          <w:szCs w:val="32"/>
          <w:lang w:val="en-US" w:eastAsia="zh-CN" w:bidi="ar-SA"/>
        </w:rPr>
        <w:t>万元。</w:t>
      </w:r>
    </w:p>
    <w:p>
      <w:pPr>
        <w:keepNext w:val="0"/>
        <w:keepLines w:val="0"/>
        <w:pageBreakBefore w:val="0"/>
        <w:numPr>
          <w:ilvl w:val="0"/>
          <w:numId w:val="0"/>
        </w:numPr>
        <w:kinsoku/>
        <w:wordWrap/>
        <w:overflowPunct/>
        <w:topLinePunct w:val="0"/>
        <w:autoSpaceDE/>
        <w:autoSpaceDN/>
        <w:bidi w:val="0"/>
        <w:adjustRightInd/>
        <w:spacing w:line="600" w:lineRule="exact"/>
        <w:ind w:leftChars="200" w:firstLine="320" w:firstLineChars="100"/>
        <w:jc w:val="left"/>
        <w:rPr>
          <w:rFonts w:hint="eastAsia" w:ascii="仿宋_GB2312" w:eastAsia="仿宋_GB2312"/>
          <w:sz w:val="32"/>
          <w:szCs w:val="32"/>
          <w:lang w:val="en-US" w:eastAsia="zh-CN"/>
        </w:rPr>
      </w:pPr>
      <w:r>
        <w:rPr>
          <w:rFonts w:hint="eastAsia" w:ascii="仿宋_GB2312" w:eastAsia="仿宋_GB2312"/>
          <w:sz w:val="32"/>
          <w:szCs w:val="32"/>
        </w:rPr>
        <w:t>（</w:t>
      </w:r>
      <w:r>
        <w:rPr>
          <w:rFonts w:hint="eastAsia" w:ascii="仿宋_GB2312" w:eastAsia="仿宋_GB2312"/>
          <w:sz w:val="32"/>
          <w:szCs w:val="32"/>
          <w:lang w:val="en-US" w:eastAsia="zh-CN"/>
        </w:rPr>
        <w:t>二</w:t>
      </w:r>
      <w:r>
        <w:rPr>
          <w:rFonts w:hint="eastAsia" w:ascii="仿宋_GB2312" w:eastAsia="仿宋_GB2312"/>
          <w:sz w:val="32"/>
          <w:szCs w:val="32"/>
        </w:rPr>
        <w:t>）项目</w:t>
      </w:r>
      <w:r>
        <w:rPr>
          <w:rFonts w:hint="eastAsia" w:ascii="仿宋_GB2312" w:eastAsia="仿宋_GB2312"/>
          <w:sz w:val="32"/>
          <w:szCs w:val="32"/>
          <w:lang w:val="en-US" w:eastAsia="zh-CN"/>
        </w:rPr>
        <w:t>绩效目标</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default" w:ascii="仿宋_GB2312" w:eastAsia="仿宋_GB2312"/>
          <w:sz w:val="32"/>
          <w:szCs w:val="32"/>
          <w:lang w:val="en-US" w:eastAsia="zh-CN"/>
        </w:rPr>
      </w:pPr>
      <w:r>
        <w:rPr>
          <w:rFonts w:hint="eastAsia" w:ascii="仿宋_GB2312" w:eastAsia="仿宋_GB2312"/>
          <w:sz w:val="32"/>
          <w:szCs w:val="32"/>
          <w:lang w:val="en-US" w:eastAsia="zh-CN"/>
        </w:rPr>
        <w:t>保障全县文化旅游广电体育工作安全高效发展。完成2023年度党建、计生、综治、安全生产等专项业务工作，保障各类工作会议的正常参与或顺利召集。</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宋体" w:hAnsi="宋体"/>
          <w:bCs/>
          <w:sz w:val="32"/>
          <w:szCs w:val="32"/>
        </w:rPr>
      </w:pPr>
      <w:r>
        <w:rPr>
          <w:rFonts w:hint="eastAsia" w:ascii="宋体" w:hAnsi="宋体"/>
          <w:bCs/>
          <w:sz w:val="32"/>
          <w:szCs w:val="32"/>
        </w:rPr>
        <w:t>二、绩效评价工作开展情况</w:t>
      </w:r>
    </w:p>
    <w:p>
      <w:pPr>
        <w:keepNext w:val="0"/>
        <w:keepLines w:val="0"/>
        <w:pageBreakBefore w:val="0"/>
        <w:kinsoku/>
        <w:wordWrap/>
        <w:overflowPunct/>
        <w:topLinePunct w:val="0"/>
        <w:autoSpaceDE/>
        <w:autoSpaceDN/>
        <w:bidi w:val="0"/>
        <w:adjustRightInd/>
        <w:spacing w:line="60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一</w:t>
      </w:r>
      <w:r>
        <w:rPr>
          <w:rFonts w:hint="eastAsia" w:ascii="仿宋_GB2312" w:eastAsia="仿宋_GB2312"/>
          <w:sz w:val="32"/>
          <w:szCs w:val="32"/>
          <w:lang w:eastAsia="zh-CN"/>
        </w:rPr>
        <w:t>）</w:t>
      </w:r>
      <w:r>
        <w:rPr>
          <w:rFonts w:hint="eastAsia" w:ascii="仿宋_GB2312" w:eastAsia="仿宋_GB2312"/>
          <w:sz w:val="32"/>
          <w:szCs w:val="32"/>
        </w:rPr>
        <w:t>绩效评价目的</w:t>
      </w:r>
      <w:r>
        <w:rPr>
          <w:rFonts w:hint="eastAsia" w:ascii="仿宋_GB2312" w:eastAsia="仿宋_GB2312"/>
          <w:sz w:val="32"/>
          <w:szCs w:val="32"/>
          <w:lang w:eastAsia="zh-CN"/>
        </w:rPr>
        <w:t>：</w:t>
      </w:r>
      <w:r>
        <w:rPr>
          <w:rFonts w:hint="eastAsia" w:ascii="仿宋_GB2312" w:eastAsia="仿宋_GB2312"/>
          <w:sz w:val="32"/>
          <w:szCs w:val="32"/>
          <w:lang w:val="en-US" w:eastAsia="zh-CN"/>
        </w:rPr>
        <w:t>为了确保全部预算资金在一定期限内达到预期的产出和效果。绩效评价对象：专项业务费。绩效评价范围：预期产出指标，包括数量、质量、时效和成本等；预期绩效：包括经济效益、社会效益、生态效益、可持续影响、社会公众和服务对象满意度等。</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hAnsi="Times New Roman" w:eastAsia="仿宋_GB2312" w:cs="Times New Roman"/>
          <w:i w:val="0"/>
          <w:iCs w:val="0"/>
          <w:caps w:val="0"/>
          <w:color w:val="4C4C4C"/>
          <w:spacing w:val="0"/>
          <w:sz w:val="32"/>
          <w:szCs w:val="32"/>
          <w:lang w:val="en-US" w:eastAsia="zh-CN" w:bidi="ar-SA"/>
        </w:rPr>
      </w:pPr>
      <w:r>
        <w:rPr>
          <w:rFonts w:hint="eastAsia" w:ascii="仿宋_GB2312" w:eastAsia="仿宋_GB2312"/>
          <w:sz w:val="32"/>
          <w:szCs w:val="32"/>
        </w:rPr>
        <w:t>（二）</w:t>
      </w:r>
      <w:r>
        <w:rPr>
          <w:rFonts w:hint="eastAsia" w:ascii="仿宋_GB2312" w:hAnsi="Times New Roman" w:eastAsia="仿宋_GB2312" w:cs="Times New Roman"/>
          <w:sz w:val="32"/>
          <w:szCs w:val="32"/>
          <w:lang w:val="en-US" w:eastAsia="zh-CN" w:bidi="ar-SA"/>
        </w:rPr>
        <w:t>绩效评价原则、评价指标体系（附表说明）、评价方法、评价标准等。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right="0" w:firstLine="640" w:firstLineChars="200"/>
        <w:rPr>
          <w:rFonts w:hint="eastAsia" w:ascii="仿宋_GB2312" w:hAnsi="Times New Roman" w:eastAsia="仿宋_GB2312" w:cs="Times New Roman"/>
          <w:sz w:val="32"/>
          <w:szCs w:val="32"/>
          <w:lang w:val="en-US" w:eastAsia="zh-CN" w:bidi="ar-SA"/>
        </w:rPr>
      </w:pPr>
      <w:r>
        <w:rPr>
          <w:rFonts w:hint="eastAsia" w:ascii="仿宋_GB2312" w:hAnsi="Times New Roman" w:eastAsia="仿宋_GB2312" w:cs="Times New Roman"/>
          <w:sz w:val="32"/>
          <w:szCs w:val="32"/>
          <w:lang w:val="en-US" w:eastAsia="zh-CN" w:bidi="ar-SA"/>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keepNext w:val="0"/>
        <w:keepLines w:val="0"/>
        <w:pageBreakBefore w:val="0"/>
        <w:numPr>
          <w:ilvl w:val="0"/>
          <w:numId w:val="0"/>
        </w:numPr>
        <w:kinsoku/>
        <w:wordWrap/>
        <w:overflowPunct/>
        <w:topLinePunct w:val="0"/>
        <w:autoSpaceDE/>
        <w:autoSpaceDN/>
        <w:bidi w:val="0"/>
        <w:adjustRightInd/>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三</w:t>
      </w:r>
      <w:r>
        <w:rPr>
          <w:rFonts w:hint="eastAsia" w:ascii="仿宋_GB2312" w:eastAsia="仿宋_GB2312"/>
          <w:sz w:val="32"/>
          <w:szCs w:val="32"/>
          <w:lang w:eastAsia="zh-CN"/>
        </w:rPr>
        <w:t>）</w:t>
      </w:r>
      <w:r>
        <w:rPr>
          <w:rFonts w:hint="eastAsia" w:ascii="仿宋_GB2312" w:eastAsia="仿宋_GB2312"/>
          <w:sz w:val="32"/>
          <w:szCs w:val="32"/>
        </w:rPr>
        <w:t>绩效评价工作过程。</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hAnsi="Times New Roman" w:eastAsia="仿宋_GB2312" w:cs="Times New Roman"/>
          <w:sz w:val="32"/>
          <w:szCs w:val="32"/>
          <w:lang w:val="en-US" w:eastAsia="zh-CN" w:bidi="ar-SA"/>
        </w:rPr>
      </w:pPr>
      <w:r>
        <w:rPr>
          <w:rFonts w:hint="eastAsia" w:ascii="仿宋_GB2312" w:hAnsi="Times New Roman" w:eastAsia="仿宋_GB2312" w:cs="Times New Roman"/>
          <w:sz w:val="32"/>
          <w:szCs w:val="32"/>
          <w:lang w:val="en-US" w:eastAsia="zh-CN" w:bidi="ar-SA"/>
        </w:rPr>
        <w:t>根据《湖南省预算支出绩效评价管理办法》（湘财绩〔2020〕7号）和《新晃侗族自治县财政局关于开展202</w:t>
      </w:r>
      <w:r>
        <w:rPr>
          <w:rFonts w:hint="eastAsia" w:ascii="仿宋_GB2312" w:eastAsia="仿宋_GB2312" w:cs="Times New Roman"/>
          <w:sz w:val="32"/>
          <w:szCs w:val="32"/>
          <w:lang w:val="en-US" w:eastAsia="zh-CN" w:bidi="ar-SA"/>
        </w:rPr>
        <w:t>3</w:t>
      </w:r>
      <w:r>
        <w:rPr>
          <w:rFonts w:hint="eastAsia" w:ascii="仿宋_GB2312" w:hAnsi="Times New Roman" w:eastAsia="仿宋_GB2312" w:cs="Times New Roman"/>
          <w:sz w:val="32"/>
          <w:szCs w:val="32"/>
          <w:lang w:val="en-US" w:eastAsia="zh-CN" w:bidi="ar-SA"/>
        </w:rPr>
        <w:t>年度部门预算支出绩效自评工作的通知》（晃财绩〔202</w:t>
      </w:r>
      <w:r>
        <w:rPr>
          <w:rFonts w:hint="eastAsia" w:ascii="仿宋_GB2312" w:eastAsia="仿宋_GB2312" w:cs="Times New Roman"/>
          <w:sz w:val="32"/>
          <w:szCs w:val="32"/>
          <w:lang w:val="en-US" w:eastAsia="zh-CN" w:bidi="ar-SA"/>
        </w:rPr>
        <w:t>4</w:t>
      </w:r>
      <w:r>
        <w:rPr>
          <w:rFonts w:hint="eastAsia" w:ascii="仿宋_GB2312" w:hAnsi="Times New Roman" w:eastAsia="仿宋_GB2312" w:cs="Times New Roman"/>
          <w:sz w:val="32"/>
          <w:szCs w:val="32"/>
          <w:lang w:val="en-US" w:eastAsia="zh-CN" w:bidi="ar-SA"/>
        </w:rPr>
        <w:t>〕</w:t>
      </w:r>
      <w:r>
        <w:rPr>
          <w:rFonts w:hint="eastAsia" w:ascii="仿宋_GB2312" w:eastAsia="仿宋_GB2312" w:cs="Times New Roman"/>
          <w:sz w:val="32"/>
          <w:szCs w:val="32"/>
          <w:lang w:val="en-US" w:eastAsia="zh-CN" w:bidi="ar-SA"/>
        </w:rPr>
        <w:t>2</w:t>
      </w:r>
      <w:r>
        <w:rPr>
          <w:rFonts w:hint="eastAsia" w:ascii="仿宋_GB2312" w:hAnsi="Times New Roman" w:eastAsia="仿宋_GB2312" w:cs="Times New Roman"/>
          <w:sz w:val="32"/>
          <w:szCs w:val="32"/>
          <w:lang w:val="en-US" w:eastAsia="zh-CN" w:bidi="ar-SA"/>
        </w:rPr>
        <w:t>号）等文件要求，我单位成立了绩效自评工作小组，对</w:t>
      </w:r>
      <w:r>
        <w:rPr>
          <w:rFonts w:hint="eastAsia" w:ascii="仿宋_GB2312" w:eastAsia="仿宋_GB2312" w:cs="Times New Roman"/>
          <w:sz w:val="32"/>
          <w:szCs w:val="32"/>
          <w:lang w:val="en-US" w:eastAsia="zh-CN" w:bidi="ar-SA"/>
        </w:rPr>
        <w:t>体育彩票销售奖励</w:t>
      </w:r>
      <w:r>
        <w:rPr>
          <w:rFonts w:hint="eastAsia" w:ascii="仿宋_GB2312" w:hAnsi="Times New Roman" w:eastAsia="仿宋_GB2312" w:cs="Times New Roman"/>
          <w:sz w:val="32"/>
          <w:szCs w:val="32"/>
          <w:lang w:val="en-US" w:eastAsia="zh-CN" w:bidi="ar-SA"/>
        </w:rPr>
        <w:t>项目支出开展了绩效自评工作。组织人员收集项目资料，检查会计凭证，在规定的时间内，对项目的实施过程进行了全面、科学、细致的评价。</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eastAsia="仿宋_GB2312"/>
          <w:bCs/>
          <w:sz w:val="32"/>
          <w:szCs w:val="32"/>
          <w:highlight w:val="none"/>
          <w:lang w:val="en-US" w:eastAsia="zh-CN"/>
        </w:rPr>
      </w:pPr>
      <w:r>
        <w:rPr>
          <w:rFonts w:hint="eastAsia" w:ascii="仿宋_GB2312" w:eastAsia="仿宋_GB2312"/>
          <w:bCs/>
          <w:sz w:val="32"/>
          <w:szCs w:val="32"/>
          <w:highlight w:val="none"/>
        </w:rPr>
        <w:t>三、综合评价情况及评价</w:t>
      </w:r>
      <w:r>
        <w:rPr>
          <w:rFonts w:hint="eastAsia" w:ascii="仿宋_GB2312" w:eastAsia="仿宋_GB2312"/>
          <w:bCs/>
          <w:sz w:val="32"/>
          <w:szCs w:val="32"/>
          <w:highlight w:val="none"/>
          <w:lang w:val="en-US" w:eastAsia="zh-CN"/>
        </w:rPr>
        <w:t>结论</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default" w:ascii="仿宋_GB2312" w:hAnsi="Times New Roman" w:eastAsia="仿宋_GB2312" w:cs="Times New Roman"/>
          <w:sz w:val="32"/>
          <w:szCs w:val="32"/>
          <w:lang w:val="en-US" w:eastAsia="zh-CN" w:bidi="ar-SA"/>
        </w:rPr>
      </w:pPr>
      <w:r>
        <w:rPr>
          <w:rFonts w:hint="eastAsia" w:ascii="仿宋_GB2312" w:hAnsi="Times New Roman" w:eastAsia="仿宋_GB2312" w:cs="Times New Roman"/>
          <w:sz w:val="32"/>
          <w:szCs w:val="32"/>
          <w:lang w:val="en-US" w:eastAsia="zh-CN" w:bidi="ar-SA"/>
        </w:rPr>
        <w:t>按照《202</w:t>
      </w:r>
      <w:r>
        <w:rPr>
          <w:rFonts w:hint="eastAsia" w:ascii="仿宋_GB2312" w:eastAsia="仿宋_GB2312" w:cs="Times New Roman"/>
          <w:sz w:val="32"/>
          <w:szCs w:val="32"/>
          <w:lang w:val="en-US" w:eastAsia="zh-CN" w:bidi="ar-SA"/>
        </w:rPr>
        <w:t>3</w:t>
      </w:r>
      <w:r>
        <w:rPr>
          <w:rFonts w:hint="eastAsia" w:ascii="仿宋_GB2312" w:hAnsi="Times New Roman" w:eastAsia="仿宋_GB2312" w:cs="Times New Roman"/>
          <w:sz w:val="32"/>
          <w:szCs w:val="32"/>
          <w:lang w:val="en-US" w:eastAsia="zh-CN" w:bidi="ar-SA"/>
        </w:rPr>
        <w:t>年度新晃县</w:t>
      </w:r>
      <w:r>
        <w:rPr>
          <w:rFonts w:hint="eastAsia" w:ascii="仿宋_GB2312" w:eastAsia="仿宋_GB2312" w:cs="Times New Roman"/>
          <w:sz w:val="32"/>
          <w:szCs w:val="32"/>
          <w:lang w:val="en-US" w:eastAsia="zh-CN" w:bidi="ar-SA"/>
        </w:rPr>
        <w:t>文化旅游广电体育局</w:t>
      </w:r>
      <w:r>
        <w:rPr>
          <w:rFonts w:hint="eastAsia" w:ascii="仿宋_GB2312" w:hAnsi="Times New Roman" w:eastAsia="仿宋_GB2312" w:cs="Times New Roman"/>
          <w:sz w:val="32"/>
          <w:szCs w:val="32"/>
          <w:lang w:val="en-US" w:eastAsia="zh-CN" w:bidi="ar-SA"/>
        </w:rPr>
        <w:t>整体支出绩效自评表》，评价工作组对</w:t>
      </w:r>
      <w:r>
        <w:rPr>
          <w:rFonts w:hint="eastAsia" w:ascii="仿宋_GB2312" w:eastAsia="仿宋_GB2312" w:cs="Times New Roman"/>
          <w:sz w:val="32"/>
          <w:szCs w:val="32"/>
          <w:lang w:val="en-US" w:eastAsia="zh-CN" w:bidi="ar-SA"/>
        </w:rPr>
        <w:t>新晃</w:t>
      </w:r>
      <w:r>
        <w:rPr>
          <w:rFonts w:hint="eastAsia" w:ascii="仿宋_GB2312" w:hAnsi="Times New Roman" w:eastAsia="仿宋_GB2312" w:cs="Times New Roman"/>
          <w:sz w:val="32"/>
          <w:szCs w:val="32"/>
          <w:lang w:val="en-US" w:eastAsia="zh-CN" w:bidi="ar-SA"/>
        </w:rPr>
        <w:t>县</w:t>
      </w:r>
      <w:r>
        <w:rPr>
          <w:rFonts w:hint="eastAsia" w:ascii="仿宋_GB2312" w:eastAsia="仿宋_GB2312" w:cs="Times New Roman"/>
          <w:sz w:val="32"/>
          <w:szCs w:val="32"/>
          <w:lang w:val="en-US" w:eastAsia="zh-CN" w:bidi="ar-SA"/>
        </w:rPr>
        <w:t>文化旅游广电体育</w:t>
      </w:r>
      <w:r>
        <w:rPr>
          <w:rFonts w:hint="eastAsia" w:ascii="仿宋_GB2312" w:hAnsi="Times New Roman" w:eastAsia="仿宋_GB2312" w:cs="Times New Roman"/>
          <w:sz w:val="32"/>
          <w:szCs w:val="32"/>
          <w:lang w:val="en-US" w:eastAsia="zh-CN" w:bidi="ar-SA"/>
        </w:rPr>
        <w:t>局20</w:t>
      </w:r>
      <w:r>
        <w:rPr>
          <w:rFonts w:hint="eastAsia" w:ascii="仿宋_GB2312" w:eastAsia="仿宋_GB2312" w:cs="Times New Roman"/>
          <w:sz w:val="32"/>
          <w:szCs w:val="32"/>
          <w:lang w:val="en-US" w:eastAsia="zh-CN" w:bidi="ar-SA"/>
        </w:rPr>
        <w:t>23</w:t>
      </w:r>
      <w:r>
        <w:rPr>
          <w:rFonts w:hint="eastAsia" w:ascii="仿宋_GB2312" w:hAnsi="Times New Roman" w:eastAsia="仿宋_GB2312" w:cs="Times New Roman"/>
          <w:sz w:val="32"/>
          <w:szCs w:val="32"/>
          <w:lang w:val="en-US" w:eastAsia="zh-CN" w:bidi="ar-SA"/>
        </w:rPr>
        <w:t>年度</w:t>
      </w:r>
      <w:r>
        <w:rPr>
          <w:rFonts w:hint="eastAsia" w:ascii="仿宋_GB2312" w:eastAsia="仿宋_GB2312" w:cs="Times New Roman"/>
          <w:sz w:val="32"/>
          <w:szCs w:val="32"/>
          <w:lang w:val="en-US" w:eastAsia="zh-CN" w:bidi="ar-SA"/>
        </w:rPr>
        <w:t>专项业务费</w:t>
      </w:r>
      <w:r>
        <w:rPr>
          <w:rFonts w:hint="eastAsia" w:ascii="仿宋_GB2312" w:hAnsi="Times New Roman" w:eastAsia="仿宋_GB2312" w:cs="Times New Roman"/>
          <w:sz w:val="32"/>
          <w:szCs w:val="32"/>
          <w:lang w:val="en-US" w:eastAsia="zh-CN" w:bidi="ar-SA"/>
        </w:rPr>
        <w:t>进行评价的评分分值为98分，评价</w:t>
      </w:r>
      <w:r>
        <w:rPr>
          <w:rFonts w:hint="eastAsia" w:ascii="仿宋_GB2312" w:eastAsia="仿宋_GB2312" w:cs="Times New Roman"/>
          <w:sz w:val="32"/>
          <w:szCs w:val="32"/>
          <w:lang w:val="en-US" w:eastAsia="zh-CN" w:bidi="ar-SA"/>
        </w:rPr>
        <w:t>结论为优秀。</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hAnsi="Times New Roman" w:eastAsia="仿宋_GB2312" w:cs="Times New Roman"/>
          <w:sz w:val="32"/>
          <w:szCs w:val="32"/>
          <w:lang w:val="en-US" w:eastAsia="zh-CN" w:bidi="ar-SA"/>
        </w:rPr>
      </w:pPr>
      <w:r>
        <w:rPr>
          <w:rFonts w:hint="eastAsia" w:ascii="仿宋_GB2312" w:hAnsi="Times New Roman" w:eastAsia="仿宋_GB2312" w:cs="Times New Roman"/>
          <w:sz w:val="32"/>
          <w:szCs w:val="32"/>
          <w:lang w:val="en-US" w:eastAsia="zh-CN" w:bidi="ar-SA"/>
        </w:rPr>
        <w:t>四、绩效评价指标分析</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（一）项目决策情况。</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hAnsi="Times New Roman" w:eastAsia="仿宋_GB2312" w:cs="Times New Roman"/>
          <w:sz w:val="32"/>
          <w:szCs w:val="32"/>
          <w:lang w:val="en-US" w:eastAsia="zh-CN" w:bidi="ar-SA"/>
        </w:rPr>
      </w:pPr>
      <w:r>
        <w:rPr>
          <w:rFonts w:hint="eastAsia" w:ascii="仿宋_GB2312" w:eastAsia="仿宋_GB2312" w:cs="Times New Roman"/>
          <w:sz w:val="32"/>
          <w:szCs w:val="32"/>
          <w:lang w:val="en-US" w:eastAsia="zh-CN" w:bidi="ar-SA"/>
        </w:rPr>
        <w:t>1、</w:t>
      </w:r>
      <w:r>
        <w:rPr>
          <w:rFonts w:hint="eastAsia" w:ascii="仿宋_GB2312" w:hAnsi="Times New Roman" w:eastAsia="仿宋_GB2312" w:cs="Times New Roman"/>
          <w:sz w:val="32"/>
          <w:szCs w:val="32"/>
          <w:lang w:val="en-US" w:eastAsia="zh-CN" w:bidi="ar-SA"/>
        </w:rPr>
        <w:t>确定项目决策的范畴：根据项目的阶段和内容，确定哪些方面的决策需要被记录和总结，包括目标、资源、进度、风险等方面。</w:t>
      </w:r>
      <w:r>
        <w:rPr>
          <w:rFonts w:hint="eastAsia" w:ascii="仿宋_GB2312" w:hAnsi="Times New Roman" w:eastAsia="仿宋_GB2312" w:cs="Times New Roman"/>
          <w:sz w:val="32"/>
          <w:szCs w:val="32"/>
          <w:lang w:val="en-US" w:eastAsia="zh-CN" w:bidi="ar-SA"/>
        </w:rPr>
        <w:br w:type="textWrapping"/>
      </w:r>
      <w:r>
        <w:rPr>
          <w:rFonts w:hint="eastAsia" w:ascii="仿宋_GB2312" w:eastAsia="仿宋_GB2312" w:cs="Times New Roman"/>
          <w:sz w:val="32"/>
          <w:szCs w:val="32"/>
          <w:lang w:val="en-US" w:eastAsia="zh-CN" w:bidi="ar-SA"/>
        </w:rPr>
        <w:t xml:space="preserve">   </w:t>
      </w:r>
      <w:r>
        <w:rPr>
          <w:rFonts w:hint="eastAsia" w:ascii="仿宋_GB2312" w:hAnsi="Times New Roman" w:eastAsia="仿宋_GB2312" w:cs="Times New Roman"/>
          <w:sz w:val="32"/>
          <w:szCs w:val="32"/>
          <w:lang w:val="en-US" w:eastAsia="zh-CN" w:bidi="ar-SA"/>
        </w:rPr>
        <w:t>2、梳理并整理决策信息：收集和整理涉及到的各种决策信息，包括决策的时间、主要内容、影响因素和决策结果等方面。</w:t>
      </w:r>
      <w:r>
        <w:rPr>
          <w:rFonts w:hint="eastAsia" w:ascii="仿宋_GB2312" w:hAnsi="Times New Roman" w:eastAsia="仿宋_GB2312" w:cs="Times New Roman"/>
          <w:sz w:val="32"/>
          <w:szCs w:val="32"/>
          <w:lang w:val="en-US" w:eastAsia="zh-CN" w:bidi="ar-SA"/>
        </w:rPr>
        <w:br w:type="textWrapping"/>
      </w:r>
      <w:r>
        <w:rPr>
          <w:rFonts w:hint="eastAsia" w:ascii="仿宋_GB2312" w:eastAsia="仿宋_GB2312" w:cs="Times New Roman"/>
          <w:sz w:val="32"/>
          <w:szCs w:val="32"/>
          <w:lang w:val="en-US" w:eastAsia="zh-CN" w:bidi="ar-SA"/>
        </w:rPr>
        <w:t xml:space="preserve">   </w:t>
      </w:r>
      <w:r>
        <w:rPr>
          <w:rFonts w:hint="eastAsia" w:ascii="仿宋_GB2312" w:hAnsi="Times New Roman" w:eastAsia="仿宋_GB2312" w:cs="Times New Roman"/>
          <w:sz w:val="32"/>
          <w:szCs w:val="32"/>
          <w:lang w:val="en-US" w:eastAsia="zh-CN" w:bidi="ar-SA"/>
        </w:rPr>
        <w:t>3、分析和评价决策效果：对每一项决策进行分析和评价，考察其是否符合预期目标，产生积极的效果，以及存在的问题和不足之处等。</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hAnsi="Times New Roman" w:eastAsia="仿宋_GB2312" w:cs="Times New Roman"/>
          <w:sz w:val="32"/>
          <w:szCs w:val="32"/>
          <w:lang w:val="en-US" w:eastAsia="zh-CN" w:bidi="ar-SA"/>
        </w:rPr>
      </w:pPr>
      <w:r>
        <w:rPr>
          <w:rFonts w:hint="eastAsia" w:ascii="仿宋_GB2312" w:hAnsi="Times New Roman" w:eastAsia="仿宋_GB2312" w:cs="Times New Roman"/>
          <w:sz w:val="32"/>
          <w:szCs w:val="32"/>
          <w:lang w:val="en-US" w:eastAsia="zh-CN" w:bidi="ar-SA"/>
        </w:rPr>
        <w:t>（二）项目过程情况。</w:t>
      </w:r>
    </w:p>
    <w:p>
      <w:pPr>
        <w:pStyle w:val="2"/>
        <w:keepNext w:val="0"/>
        <w:keepLines w:val="0"/>
        <w:pageBreakBefore w:val="0"/>
        <w:widowControl w:val="0"/>
        <w:kinsoku/>
        <w:wordWrap/>
        <w:overflowPunct/>
        <w:topLinePunct w:val="0"/>
        <w:autoSpaceDE/>
        <w:autoSpaceDN/>
        <w:bidi w:val="0"/>
        <w:adjustRightInd/>
        <w:spacing w:before="0" w:beforeAutospacing="0" w:after="0" w:afterAutospacing="0" w:line="600" w:lineRule="exact"/>
        <w:rPr>
          <w:rFonts w:hint="eastAsia" w:ascii="仿宋_GB2312" w:eastAsia="仿宋_GB2312"/>
          <w:sz w:val="32"/>
          <w:szCs w:val="32"/>
          <w:highlight w:val="yellow"/>
        </w:rPr>
      </w:pPr>
      <w:r>
        <w:rPr>
          <w:rFonts w:hint="eastAsia" w:ascii="仿宋_GB2312" w:hAnsi="Times New Roman" w:eastAsia="仿宋_GB2312" w:cs="Times New Roman"/>
          <w:sz w:val="32"/>
          <w:szCs w:val="32"/>
          <w:lang w:val="en-US" w:eastAsia="zh-CN" w:bidi="ar-SA"/>
        </w:rPr>
        <w:t xml:space="preserve">   严格执行项目活动申报、审核、拨付、管理等全过程，实行了全面负责。</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eastAsia="仿宋_GB2312"/>
          <w:sz w:val="32"/>
          <w:szCs w:val="32"/>
        </w:rPr>
      </w:pPr>
      <w:r>
        <w:rPr>
          <w:rFonts w:hint="eastAsia" w:ascii="仿宋_GB2312" w:eastAsia="仿宋_GB2312"/>
          <w:sz w:val="32"/>
          <w:szCs w:val="32"/>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数量指标：开展党建活动≥2次，开展安全生产、综治等行动1次/月；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质量指标：安全生产事故发生率0%；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时效指标：202</w:t>
      </w:r>
      <w:r>
        <w:rPr>
          <w:rFonts w:hint="eastAsia" w:ascii="仿宋_GB2312" w:eastAsia="仿宋_GB2312"/>
          <w:sz w:val="32"/>
          <w:szCs w:val="32"/>
          <w:lang w:eastAsia="zh-CN"/>
        </w:rPr>
        <w:t>3</w:t>
      </w:r>
      <w:r>
        <w:rPr>
          <w:rFonts w:hint="eastAsia" w:ascii="仿宋_GB2312" w:eastAsia="仿宋_GB2312"/>
          <w:sz w:val="32"/>
          <w:szCs w:val="32"/>
        </w:rPr>
        <w:t>年年底之前完成；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成本指标：专项经费≤</w:t>
      </w:r>
      <w:r>
        <w:rPr>
          <w:rFonts w:hint="eastAsia" w:ascii="仿宋_GB2312" w:eastAsia="仿宋_GB2312"/>
          <w:sz w:val="32"/>
          <w:szCs w:val="32"/>
          <w:lang w:eastAsia="zh-CN"/>
        </w:rPr>
        <w:t>47.66</w:t>
      </w:r>
      <w:r>
        <w:rPr>
          <w:rFonts w:hint="eastAsia" w:ascii="仿宋_GB2312" w:eastAsia="仿宋_GB2312"/>
          <w:sz w:val="32"/>
          <w:szCs w:val="32"/>
        </w:rPr>
        <w:t>万元。项目效益情况。</w:t>
      </w:r>
    </w:p>
    <w:p>
      <w:pPr>
        <w:keepNext w:val="0"/>
        <w:keepLines w:val="0"/>
        <w:pageBreakBefore w:val="0"/>
        <w:numPr>
          <w:ilvl w:val="0"/>
          <w:numId w:val="0"/>
        </w:numPr>
        <w:kinsoku/>
        <w:wordWrap/>
        <w:overflowPunct/>
        <w:topLinePunct w:val="0"/>
        <w:autoSpaceDE/>
        <w:autoSpaceDN/>
        <w:bidi w:val="0"/>
        <w:adjustRightInd/>
        <w:spacing w:line="600" w:lineRule="exact"/>
        <w:ind w:leftChars="200" w:firstLine="320" w:firstLineChars="100"/>
        <w:jc w:val="left"/>
        <w:rPr>
          <w:rFonts w:hint="default" w:ascii="仿宋_GB2312" w:eastAsia="仿宋_GB2312"/>
          <w:sz w:val="32"/>
          <w:szCs w:val="32"/>
          <w:lang w:val="en-US"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四</w:t>
      </w:r>
      <w:r>
        <w:rPr>
          <w:rFonts w:hint="eastAsia" w:ascii="仿宋_GB2312" w:eastAsia="仿宋_GB2312"/>
          <w:sz w:val="32"/>
          <w:szCs w:val="32"/>
          <w:lang w:eastAsia="zh-CN"/>
        </w:rPr>
        <w:t>）</w:t>
      </w:r>
      <w:r>
        <w:rPr>
          <w:rFonts w:hint="eastAsia" w:ascii="仿宋_GB2312" w:eastAsia="仿宋_GB2312"/>
          <w:sz w:val="32"/>
          <w:szCs w:val="32"/>
          <w:lang w:val="en-US" w:eastAsia="zh-CN"/>
        </w:rPr>
        <w:t>项目效益指标</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社会效益指标：保障新晃县文旅广电体育事业在安全的生产的基础上高质量发展；提高人民群众生活质量。</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可持续影响指标：加强文化旅游广电体育事业发展。</w:t>
      </w:r>
    </w:p>
    <w:p>
      <w:pPr>
        <w:keepNext w:val="0"/>
        <w:keepLines w:val="0"/>
        <w:pageBreakBefore w:val="0"/>
        <w:kinsoku/>
        <w:wordWrap/>
        <w:overflowPunct/>
        <w:topLinePunct w:val="0"/>
        <w:autoSpaceDE/>
        <w:autoSpaceDN/>
        <w:bidi w:val="0"/>
        <w:adjustRightInd/>
        <w:spacing w:line="600" w:lineRule="exact"/>
        <w:ind w:left="0" w:firstLine="640" w:firstLineChars="200"/>
        <w:jc w:val="left"/>
        <w:rPr>
          <w:rFonts w:hint="eastAsia" w:ascii="宋体" w:hAnsi="宋体"/>
          <w:bCs/>
          <w:sz w:val="32"/>
          <w:szCs w:val="32"/>
        </w:rPr>
      </w:pPr>
      <w:r>
        <w:rPr>
          <w:rFonts w:hint="eastAsia" w:ascii="宋体" w:hAnsi="宋体"/>
          <w:bCs/>
          <w:sz w:val="32"/>
          <w:szCs w:val="32"/>
        </w:rPr>
        <w:t>五、主要经验及做法、存在的问题及原因分析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firstLine="430"/>
        <w:rPr>
          <w:rFonts w:hint="default" w:ascii="宋体" w:hAnsi="宋体"/>
          <w:bCs/>
          <w:sz w:val="32"/>
          <w:szCs w:val="32"/>
          <w:lang w:val="en-US" w:eastAsia="zh-CN"/>
        </w:rPr>
      </w:pPr>
      <w:r>
        <w:rPr>
          <w:rFonts w:hint="eastAsia" w:ascii="宋体" w:hAnsi="宋体"/>
          <w:bCs/>
          <w:sz w:val="32"/>
          <w:szCs w:val="32"/>
          <w:lang w:val="en-US" w:eastAsia="zh-CN"/>
        </w:rPr>
        <w:t xml:space="preserve"> </w:t>
      </w:r>
      <w:r>
        <w:rPr>
          <w:rFonts w:hint="eastAsia" w:ascii="Times New Roman" w:hAnsi="Times New Roman" w:eastAsia="宋体" w:cs="Times New Roman"/>
          <w:sz w:val="28"/>
          <w:szCs w:val="20"/>
          <w:lang w:val="en-US" w:eastAsia="zh-CN" w:bidi="ar-SA"/>
        </w:rPr>
        <w:t xml:space="preserve"> 无</w:t>
      </w:r>
    </w:p>
    <w:p>
      <w:pPr>
        <w:keepNext w:val="0"/>
        <w:keepLines w:val="0"/>
        <w:pageBreakBefore w:val="0"/>
        <w:numPr>
          <w:ilvl w:val="0"/>
          <w:numId w:val="1"/>
        </w:numPr>
        <w:kinsoku/>
        <w:wordWrap/>
        <w:overflowPunct/>
        <w:topLinePunct w:val="0"/>
        <w:autoSpaceDE/>
        <w:autoSpaceDN/>
        <w:bidi w:val="0"/>
        <w:adjustRightInd/>
        <w:spacing w:line="600" w:lineRule="exact"/>
        <w:ind w:left="0" w:firstLine="640" w:firstLineChars="200"/>
        <w:jc w:val="left"/>
        <w:rPr>
          <w:rFonts w:hint="eastAsia" w:ascii="宋体" w:hAnsi="宋体"/>
          <w:bCs/>
          <w:sz w:val="32"/>
          <w:szCs w:val="32"/>
        </w:rPr>
      </w:pPr>
      <w:r>
        <w:rPr>
          <w:rFonts w:hint="eastAsia" w:ascii="宋体" w:hAnsi="宋体"/>
          <w:bCs/>
          <w:sz w:val="32"/>
          <w:szCs w:val="32"/>
        </w:rPr>
        <w:t>有关建议</w:t>
      </w:r>
    </w:p>
    <w:p>
      <w:pPr>
        <w:pStyle w:val="5"/>
        <w:keepNext w:val="0"/>
        <w:keepLines w:val="0"/>
        <w:pageBreakBefore w:val="0"/>
        <w:numPr>
          <w:ilvl w:val="0"/>
          <w:numId w:val="0"/>
        </w:numPr>
        <w:kinsoku/>
        <w:wordWrap/>
        <w:overflowPunct/>
        <w:topLinePunct w:val="0"/>
        <w:autoSpaceDE/>
        <w:autoSpaceDN/>
        <w:bidi w:val="0"/>
        <w:adjustRightInd/>
        <w:spacing w:line="600" w:lineRule="exact"/>
        <w:rPr>
          <w:rFonts w:hint="default" w:eastAsia="宋体"/>
          <w:lang w:val="en-US" w:eastAsia="zh-CN"/>
        </w:rPr>
      </w:pPr>
      <w:r>
        <w:rPr>
          <w:rFonts w:hint="eastAsia"/>
          <w:lang w:val="en-US" w:eastAsia="zh-CN"/>
        </w:rPr>
        <w:t xml:space="preserve">     无</w:t>
      </w:r>
    </w:p>
    <w:p>
      <w:pPr>
        <w:keepNext w:val="0"/>
        <w:keepLines w:val="0"/>
        <w:pageBreakBefore w:val="0"/>
        <w:numPr>
          <w:ilvl w:val="0"/>
          <w:numId w:val="1"/>
        </w:numPr>
        <w:kinsoku/>
        <w:wordWrap/>
        <w:overflowPunct/>
        <w:topLinePunct w:val="0"/>
        <w:autoSpaceDE/>
        <w:autoSpaceDN/>
        <w:bidi w:val="0"/>
        <w:adjustRightInd/>
        <w:spacing w:line="600" w:lineRule="exact"/>
        <w:ind w:left="0" w:leftChars="0" w:firstLine="640" w:firstLineChars="200"/>
        <w:jc w:val="left"/>
        <w:rPr>
          <w:rFonts w:hint="eastAsia" w:ascii="宋体" w:hAnsi="宋体"/>
          <w:bCs/>
          <w:sz w:val="32"/>
          <w:szCs w:val="32"/>
        </w:rPr>
      </w:pPr>
      <w:r>
        <w:rPr>
          <w:rFonts w:hint="eastAsia" w:ascii="宋体" w:hAnsi="宋体"/>
          <w:bCs/>
          <w:sz w:val="32"/>
          <w:szCs w:val="32"/>
        </w:rPr>
        <w:t>其他需要说明的问题</w:t>
      </w:r>
    </w:p>
    <w:p>
      <w:pPr>
        <w:pStyle w:val="5"/>
        <w:keepNext w:val="0"/>
        <w:keepLines w:val="0"/>
        <w:pageBreakBefore w:val="0"/>
        <w:numPr>
          <w:ilvl w:val="0"/>
          <w:numId w:val="0"/>
        </w:numPr>
        <w:kinsoku/>
        <w:wordWrap/>
        <w:overflowPunct/>
        <w:topLinePunct w:val="0"/>
        <w:autoSpaceDE/>
        <w:autoSpaceDN/>
        <w:bidi w:val="0"/>
        <w:adjustRightInd/>
        <w:spacing w:line="600" w:lineRule="exact"/>
        <w:ind w:leftChars="200"/>
        <w:rPr>
          <w:rFonts w:hint="default" w:eastAsia="宋体"/>
          <w:lang w:val="en-US" w:eastAsia="zh-CN"/>
        </w:rPr>
      </w:pPr>
      <w:r>
        <w:rPr>
          <w:rFonts w:hint="eastAsia"/>
          <w:lang w:val="en-US" w:eastAsia="zh-CN"/>
        </w:rPr>
        <w:t xml:space="preserve">  无</w:t>
      </w:r>
    </w:p>
    <w:p>
      <w:pPr>
        <w:pStyle w:val="2"/>
        <w:keepNext w:val="0"/>
        <w:keepLines w:val="0"/>
        <w:pageBreakBefore w:val="0"/>
        <w:widowControl w:val="0"/>
        <w:kinsoku/>
        <w:wordWrap/>
        <w:overflowPunct/>
        <w:topLinePunct w:val="0"/>
        <w:autoSpaceDE/>
        <w:autoSpaceDN/>
        <w:bidi w:val="0"/>
        <w:adjustRightInd/>
        <w:spacing w:before="0" w:beforeAutospacing="0" w:after="0" w:afterAutospacing="0" w:line="600" w:lineRule="exact"/>
        <w:rPr>
          <w:rFonts w:hint="eastAsia" w:ascii="仿宋_GB2312" w:hAnsi="Times New Roman" w:eastAsia="仿宋_GB2312" w:cs="Times New Roman"/>
          <w:sz w:val="32"/>
          <w:szCs w:val="32"/>
        </w:rPr>
      </w:pPr>
      <w:r>
        <w:rPr>
          <w:rFonts w:hint="eastAsia" w:ascii="Times New Roman" w:hAnsi="Times New Roman" w:eastAsia="仿宋_GB2312" w:cs="Times New Roman"/>
          <w:sz w:val="32"/>
          <w:szCs w:val="32"/>
        </w:rPr>
        <w:t> </w:t>
      </w:r>
    </w:p>
    <w:p>
      <w:pPr>
        <w:keepNext w:val="0"/>
        <w:keepLines w:val="0"/>
        <w:pageBreakBefore w:val="0"/>
        <w:kinsoku/>
        <w:wordWrap/>
        <w:overflowPunct/>
        <w:topLinePunct w:val="0"/>
        <w:autoSpaceDE/>
        <w:autoSpaceDN/>
        <w:bidi w:val="0"/>
        <w:adjustRightInd/>
        <w:spacing w:line="600" w:lineRule="exact"/>
        <w:ind w:left="8960" w:hanging="8960" w:hangingChars="2800"/>
        <w:rPr>
          <w:rFonts w:hint="eastAsia" w:ascii="仿宋_GB2312" w:eastAsia="仿宋_GB2312"/>
          <w:sz w:val="32"/>
          <w:szCs w:val="32"/>
        </w:rPr>
      </w:pPr>
      <w:r>
        <w:rPr>
          <w:rFonts w:hint="eastAsia" w:eastAsia="仿宋_GB2312"/>
          <w:sz w:val="32"/>
          <w:szCs w:val="32"/>
        </w:rPr>
        <w:t> </w:t>
      </w:r>
      <w:r>
        <w:rPr>
          <w:rFonts w:hint="eastAsia" w:ascii="仿宋_GB2312" w:eastAsia="仿宋_GB2312"/>
          <w:sz w:val="32"/>
          <w:szCs w:val="32"/>
        </w:rPr>
        <w:t xml:space="preserve">                   </w:t>
      </w:r>
      <w:r>
        <w:rPr>
          <w:rFonts w:hint="eastAsia" w:ascii="仿宋_GB2312" w:eastAsia="仿宋_GB2312"/>
          <w:sz w:val="32"/>
          <w:szCs w:val="32"/>
          <w:lang w:val="en-US" w:eastAsia="zh-CN"/>
        </w:rPr>
        <w:t>新晃侗族自治县文化旅游广电体育局</w:t>
      </w:r>
      <w:r>
        <w:rPr>
          <w:rFonts w:hint="eastAsia" w:ascii="仿宋_GB2312" w:eastAsia="仿宋_GB2312"/>
          <w:sz w:val="32"/>
          <w:szCs w:val="32"/>
        </w:rPr>
        <w:t xml:space="preserve">                 </w:t>
      </w:r>
    </w:p>
    <w:p>
      <w:pPr>
        <w:keepNext w:val="0"/>
        <w:keepLines w:val="0"/>
        <w:pageBreakBefore w:val="0"/>
        <w:kinsoku/>
        <w:wordWrap/>
        <w:overflowPunct/>
        <w:topLinePunct w:val="0"/>
        <w:autoSpaceDE/>
        <w:autoSpaceDN/>
        <w:bidi w:val="0"/>
        <w:adjustRightInd/>
        <w:spacing w:line="600" w:lineRule="exact"/>
        <w:ind w:left="0" w:leftChars="0" w:firstLine="5120" w:firstLineChars="1600"/>
        <w:rPr>
          <w:rFonts w:hint="eastAsia"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 xml:space="preserve">年 </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9</w:t>
      </w:r>
      <w:r>
        <w:rPr>
          <w:rFonts w:hint="eastAsia" w:ascii="仿宋_GB2312" w:eastAsia="仿宋_GB2312"/>
          <w:sz w:val="32"/>
          <w:szCs w:val="32"/>
        </w:rPr>
        <w:t>日</w:t>
      </w:r>
    </w:p>
    <w:p>
      <w:pPr>
        <w:spacing w:line="320" w:lineRule="exact"/>
        <w:ind w:left="0"/>
        <w:jc w:val="left"/>
        <w:rPr>
          <w:rFonts w:hint="eastAsia" w:ascii="仿宋_GB2312" w:hAnsi="仿宋_GB2312" w:eastAsia="仿宋_GB2312" w:cs="仿宋_GB2312"/>
          <w:szCs w:val="21"/>
        </w:rPr>
      </w:pPr>
    </w:p>
    <w:sectPr>
      <w:pgSz w:w="11906" w:h="16838"/>
      <w:pgMar w:top="1157" w:right="1800" w:bottom="110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9A6EC"/>
    <w:multiLevelType w:val="singleLevel"/>
    <w:tmpl w:val="9DE9A6EC"/>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OGExNWIxYmYzZDJkNDNjNjIyYmY3YTI4ZmMwOGIifQ=="/>
  </w:docVars>
  <w:rsids>
    <w:rsidRoot w:val="640A6031"/>
    <w:rsid w:val="23453A88"/>
    <w:rsid w:val="29043245"/>
    <w:rsid w:val="3074219E"/>
    <w:rsid w:val="39A04265"/>
    <w:rsid w:val="46202A51"/>
    <w:rsid w:val="467D3578"/>
    <w:rsid w:val="485C5017"/>
    <w:rsid w:val="51C72933"/>
    <w:rsid w:val="57260FF8"/>
    <w:rsid w:val="640A6031"/>
    <w:rsid w:val="654A5B17"/>
    <w:rsid w:val="71740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customStyle="1" w:styleId="5">
    <w:name w:val="BodyText1I"/>
    <w:basedOn w:val="1"/>
    <w:autoRedefine/>
    <w:qFormat/>
    <w:uiPriority w:val="99"/>
    <w:pPr>
      <w:snapToGrid w:val="0"/>
      <w:spacing w:line="360" w:lineRule="auto"/>
      <w:ind w:firstLine="420" w:firstLineChars="100"/>
    </w:pPr>
    <w:rPr>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2180</Words>
  <Characters>2340</Characters>
  <Lines>0</Lines>
  <Paragraphs>0</Paragraphs>
  <TotalTime>6</TotalTime>
  <ScaleCrop>false</ScaleCrop>
  <LinksUpToDate>false</LinksUpToDate>
  <CharactersWithSpaces>2540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2023-05-10T06:55:00Z</dcterms:created>
  <dc:creator>wgxj</dc:creator>
  <cp:lastModifiedBy>Administrator</cp:lastModifiedBy>
  <cp:lastPrinted>2023-05-24T07:44:00Z</cp:lastPrinted>
  <dcterms:modified xsi:type="dcterms:W3CDTF">2024-04-18T09:22:42Z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54634B5770144584984CDC7CC2113F6F_13</vt:lpwstr>
  </property>
</Properties>
</file>