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7ABB3">
      <w:pPr>
        <w:spacing w:before="100" w:beforeAutospacing="1" w:after="100" w:afterAutospacing="1"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 w14:paraId="0F217CFB"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5E9FAA22">
      <w:pPr>
        <w:spacing w:before="156" w:beforeLines="50" w:line="240" w:lineRule="exact"/>
        <w:ind w:firstLine="482"/>
        <w:jc w:val="center"/>
        <w:rPr>
          <w:rFonts w:eastAsia="仿宋_GB2312"/>
          <w:sz w:val="20"/>
          <w:szCs w:val="21"/>
        </w:rPr>
      </w:pPr>
      <w:r>
        <w:rPr>
          <w:sz w:val="24"/>
        </w:rPr>
        <w:t xml:space="preserve">                                              </w:t>
      </w:r>
      <w:r>
        <w:rPr>
          <w:rFonts w:eastAsia="仿宋_GB2312"/>
          <w:sz w:val="20"/>
          <w:szCs w:val="21"/>
        </w:rPr>
        <w:t xml:space="preserve">    金额单位：万元</w:t>
      </w:r>
    </w:p>
    <w:tbl>
      <w:tblPr>
        <w:tblStyle w:val="8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7"/>
        <w:gridCol w:w="918"/>
        <w:gridCol w:w="1800"/>
        <w:gridCol w:w="1628"/>
        <w:gridCol w:w="1097"/>
        <w:gridCol w:w="1206"/>
        <w:gridCol w:w="832"/>
        <w:gridCol w:w="870"/>
      </w:tblGrid>
      <w:tr w14:paraId="36143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100B4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项目单位</w:t>
            </w:r>
          </w:p>
          <w:p w14:paraId="31E8443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称</w:t>
            </w:r>
          </w:p>
        </w:tc>
        <w:tc>
          <w:tcPr>
            <w:tcW w:w="27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B9C459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新晃侗族自治县文化旅游广电体育局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B687A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6615B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体育彩票销售奖励</w:t>
            </w:r>
          </w:p>
        </w:tc>
      </w:tr>
      <w:tr w14:paraId="312C4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5C73CF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</w:t>
            </w:r>
          </w:p>
          <w:p w14:paraId="7B5254EF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责任部门</w:t>
            </w:r>
          </w:p>
        </w:tc>
        <w:tc>
          <w:tcPr>
            <w:tcW w:w="27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37CC8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新晃侗族自治县文化旅游广电体育局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43529F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D477CF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许林城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F8AEFB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8304E4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6222245</w:t>
            </w:r>
          </w:p>
        </w:tc>
      </w:tr>
      <w:tr w14:paraId="44C62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537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9B83F6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项目资金</w:t>
            </w:r>
          </w:p>
          <w:p w14:paraId="3F710D0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基本情况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788037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E8F06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4CE6D3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2E288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5177C0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预算执行率</w:t>
            </w:r>
          </w:p>
        </w:tc>
      </w:tr>
      <w:tr w14:paraId="50696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537" w:type="dxa"/>
            <w:vMerge w:val="continue"/>
            <w:noWrap w:val="0"/>
            <w:vAlign w:val="center"/>
          </w:tcPr>
          <w:p w14:paraId="1EBA5C6A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D33DE4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22DE0E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100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B0FD4B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0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611EE5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95.96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91B44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95.96%</w:t>
            </w:r>
          </w:p>
        </w:tc>
      </w:tr>
      <w:tr w14:paraId="2FF8A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06DE4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评价内容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283DA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41D35F7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8509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81F07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财政复</w:t>
            </w:r>
          </w:p>
          <w:p w14:paraId="63FF307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评得分</w:t>
            </w:r>
          </w:p>
        </w:tc>
      </w:tr>
      <w:tr w14:paraId="4BFC8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4333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项目预算及预期绩效目标编制水平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4EBF0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8C8E60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本项目预算编制科学、规范、合理，预期绩效目标申报完整，产出、效果类关键性指标清晰、明确、量化，投入与项目产出、效果目标匹配。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DDE5F0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B51BB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86D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78170A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预算执行率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8981F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BB0988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95.96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22BA30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9007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39AE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C4C397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项目组织管理水平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FEE2CE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4EB2DC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本项目由新晃县文化旅游广电体育局担任法人具体负责组织实施，委派专人对项目进行管理。严格执行项目法人制和合同管理制度，对建设项目从筹划、立项、筹资、设计、建设实施直至运行管理等全过程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F9F1F6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E4882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0FD5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B76F20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资金支出</w:t>
            </w:r>
          </w:p>
          <w:p w14:paraId="278A874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合理合规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1F7E0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3773CC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我局严格按照县财政相关政策制度管理、使用各项资金，并根据《会计法》、《预算法》等法规制订了单位财务管理、办公物资采购管理、固定资产管理等多项财务规章制度，专项资金的开支，均需要各部门严格控制，层层审批，确保专款专用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790BF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FC4307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6841E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BE22A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项目产出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91F2E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C4C951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数量指标：全年体彩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销售额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11200万元；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推广销售活动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12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次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；</w:t>
            </w:r>
          </w:p>
          <w:p w14:paraId="72F38C47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时效指标：2023年12月31日前完成；</w:t>
            </w:r>
          </w:p>
          <w:p w14:paraId="4F6C83FE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社会效益指标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加强体彩销售管理，促进体彩销售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；</w:t>
            </w:r>
          </w:p>
          <w:p w14:paraId="5E6D5F0A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成本指标：体彩销售网点奖励≤20万。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A5A6A9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29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86AFB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B7D9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9D3A58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项目效益（效果）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5E509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595C2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社会效益指标：加强体彩销售管理，促进体彩销售；</w:t>
            </w:r>
          </w:p>
          <w:p w14:paraId="3A70C49D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可持续影响指标：长期加强体彩销售管理，促进体彩销售；</w:t>
            </w:r>
          </w:p>
          <w:p w14:paraId="0D2E90C1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干部职工满意度≥100%。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311E93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25544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E4B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0AD15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满意度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BF8829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549A29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社会公众或服务对象满意度指标，公众满意度≥90%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9A23DF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2B500B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2F727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E6A28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小计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5B1132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F67365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AD056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B9C6B7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7F229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1B1CDB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负向指标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B518F6F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021D8A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FE7A54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C5544E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48F96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7576FD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合计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0BCF6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CB4479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5BDF43">
            <w:pPr>
              <w:spacing w:line="320" w:lineRule="exact"/>
              <w:ind w:left="1" w:firstLine="0" w:firstLineChars="0"/>
              <w:jc w:val="center"/>
              <w:rPr>
                <w:rFonts w:hint="default" w:ascii="仿宋_GB2312" w:hAnsi="仿宋_GB2312" w:eastAsia="仿宋_GB2312" w:cs="仿宋_GB2312"/>
                <w:sz w:val="2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val="en-US" w:eastAsia="zh-CN"/>
              </w:rPr>
              <w:t>97.5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C0CFB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</w:tr>
      <w:tr w14:paraId="1237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53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7BF0FC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评价结果</w:t>
            </w:r>
          </w:p>
        </w:tc>
        <w:tc>
          <w:tcPr>
            <w:tcW w:w="91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35CFD1">
            <w:pPr>
              <w:spacing w:line="320" w:lineRule="exact"/>
              <w:ind w:left="1" w:firstLine="0" w:firstLineChars="0"/>
              <w:jc w:val="center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6AD23E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 xml:space="preserve"> 优秀  90分≤得分≤100分；    □ 良好  80分≤得分＜90分；</w:t>
            </w:r>
          </w:p>
          <w:p w14:paraId="5AB517A4">
            <w:pPr>
              <w:spacing w:line="320" w:lineRule="exact"/>
              <w:ind w:left="1" w:firstLine="0" w:firstLineChars="0"/>
              <w:jc w:val="left"/>
              <w:rPr>
                <w:rFonts w:hint="eastAsia" w:ascii="仿宋_GB2312" w:hAnsi="仿宋_GB2312" w:eastAsia="仿宋_GB2312" w:cs="仿宋_GB2312"/>
                <w:sz w:val="2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1"/>
              </w:rPr>
              <w:t>□ 较差   60分≤得分＜80分；    □ 差    得分＜60分</w:t>
            </w:r>
          </w:p>
        </w:tc>
      </w:tr>
    </w:tbl>
    <w:p w14:paraId="60F85579">
      <w:pPr>
        <w:spacing w:line="320" w:lineRule="exact"/>
        <w:ind w:left="0" w:firstLine="0" w:firstLineChars="0"/>
        <w:jc w:val="left"/>
        <w:rPr>
          <w:rFonts w:hint="eastAsia" w:ascii="仿宋_GB2312" w:hAnsi="仿宋_GB2312" w:eastAsia="仿宋_GB2312" w:cs="仿宋_GB2312"/>
          <w:sz w:val="20"/>
          <w:szCs w:val="21"/>
        </w:rPr>
      </w:pPr>
    </w:p>
    <w:p w14:paraId="096CFF53">
      <w:pPr>
        <w:spacing w:line="320" w:lineRule="exact"/>
        <w:ind w:left="0" w:firstLine="0" w:firstLineChars="0"/>
        <w:jc w:val="both"/>
        <w:rPr>
          <w:rFonts w:hint="eastAsia" w:ascii="仿宋_GB2312" w:hAnsi="仿宋_GB2312" w:eastAsia="仿宋_GB2312" w:cs="仿宋_GB2312"/>
          <w:sz w:val="20"/>
          <w:szCs w:val="21"/>
        </w:rPr>
      </w:pPr>
      <w:r>
        <w:rPr>
          <w:rFonts w:hint="eastAsia" w:ascii="仿宋_GB2312" w:hAnsi="仿宋_GB2312" w:eastAsia="仿宋_GB2312" w:cs="仿宋_GB2312"/>
          <w:sz w:val="20"/>
          <w:szCs w:val="21"/>
        </w:rPr>
        <w:t>单位负责人（签字）：            项目负责人（签字）：        填表日期：  年   月   日</w:t>
      </w:r>
    </w:p>
    <w:p w14:paraId="598A12B9">
      <w:pPr>
        <w:spacing w:line="320" w:lineRule="exact"/>
        <w:ind w:left="0" w:firstLine="0" w:firstLineChars="0"/>
        <w:jc w:val="left"/>
        <w:rPr>
          <w:rFonts w:hint="eastAsia" w:ascii="仿宋_GB2312" w:hAnsi="仿宋_GB2312" w:eastAsia="仿宋_GB2312" w:cs="仿宋_GB2312"/>
          <w:sz w:val="20"/>
          <w:szCs w:val="2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7D6C5B9">
      <w:pPr>
        <w:spacing w:before="240" w:line="340" w:lineRule="exact"/>
        <w:jc w:val="left"/>
        <w:rPr>
          <w:b/>
          <w:sz w:val="24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 w14:paraId="74E8C65B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28FC908C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一、</w:t>
      </w:r>
      <w:r>
        <w:rPr>
          <w:rStyle w:val="10"/>
          <w:rFonts w:hint="eastAsia"/>
        </w:rPr>
        <w:t>基本情况</w:t>
      </w:r>
    </w:p>
    <w:p w14:paraId="436DA1A2"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</w:rPr>
        <w:t>（一）</w:t>
      </w:r>
      <w:r>
        <w:rPr>
          <w:rFonts w:hint="eastAsia"/>
          <w:lang w:val="en-US" w:eastAsia="zh-CN"/>
        </w:rPr>
        <w:t>项目概况</w:t>
      </w:r>
    </w:p>
    <w:p w14:paraId="4748C1B8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近年来，在上级部门的大力支持下，在县委、县政府的高度重视下，我县全民健身活动场地得到了全面的提升的良好局面，为全县全民健身活动提供了有力的场地保障。为进一步拉动体育事业的发展，促进民生社保体育各项事业，例如全民健身，体育场馆建设等等，开展了体育彩票销售奖励专业项目。体育彩票销售奖励能够更好的保障我县体育事业运行和发展的需要，为我县体育发展添砖加瓦。</w:t>
      </w:r>
    </w:p>
    <w:p w14:paraId="14ADD045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本项目资金用于保障我县体育事业的顺利开展，主要用于体彩销售网点奖励、宣传活动。</w:t>
      </w:r>
    </w:p>
    <w:p w14:paraId="411E7D21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截至2023年12月31日，我县体育彩票奖励专项资金实际花费136万元。</w:t>
      </w:r>
    </w:p>
    <w:p w14:paraId="0899F9E5">
      <w:pPr>
        <w:pStyle w:val="4"/>
        <w:numPr>
          <w:ilvl w:val="0"/>
          <w:numId w:val="1"/>
        </w:numPr>
        <w:bidi w:val="0"/>
        <w:rPr>
          <w:rFonts w:hint="eastAsia"/>
        </w:rPr>
      </w:pPr>
      <w:r>
        <w:rPr>
          <w:rFonts w:hint="eastAsia"/>
        </w:rPr>
        <w:t>项目绩效目标。</w:t>
      </w:r>
    </w:p>
    <w:p w14:paraId="218C9275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加强体育事业发展，提高全民健身运动，不断增强全民体质，着重培养体育人才。</w:t>
      </w:r>
    </w:p>
    <w:p w14:paraId="087D9431">
      <w:pPr>
        <w:pStyle w:val="4"/>
        <w:bidi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</w:rPr>
        <w:t>二</w:t>
      </w:r>
      <w:r>
        <w:rPr>
          <w:rStyle w:val="10"/>
          <w:rFonts w:hint="eastAsia"/>
        </w:rPr>
        <w:t>、绩效评价工作开展情况</w:t>
      </w:r>
    </w:p>
    <w:p w14:paraId="76920268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一）绩效评价目的：为了确保全部预算资金在一定期限内达到预期的产出和效果。绩效评价对象：体育彩票销售奖励。绩效评价范围：预期产出指标，包括数量、质量、时效和成本等；预期绩效：包括经济效益、社会效益、生态效益、可持续影响、社会公众和服务对象满意度等。</w:t>
      </w:r>
    </w:p>
    <w:p w14:paraId="29BD64A0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（二）绩效评价原则、评价指标体系（附表说明）、评价方法、评价标准等。</w:t>
      </w:r>
    </w:p>
    <w:p w14:paraId="17DF9147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。</w:t>
      </w:r>
    </w:p>
    <w:p w14:paraId="76D345D9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（三）绩效评价工作过程。</w:t>
      </w:r>
    </w:p>
    <w:p w14:paraId="08207EAF"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根据《湖南省预算支出绩效评价管理办法》（湘财绩〔2020〕7号）和《新晃侗族自治县财政局关于开展202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年度部门预算支出绩效自评工作的通知》（晃财绩〔202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〕2号）等文件要求，我单位成立了绩效自评工作小组，对体育彩票销售奖励项目支出开展了绩效自评工作。组织人员收集项目资料，检查会计凭证，在规定的时间内，对项目的实施过程进行了全面、科学、细致的评价。</w:t>
      </w:r>
    </w:p>
    <w:p w14:paraId="4FBF25D4">
      <w:pPr>
        <w:pStyle w:val="3"/>
        <w:numPr>
          <w:ilvl w:val="0"/>
          <w:numId w:val="2"/>
        </w:numPr>
        <w:bidi w:val="0"/>
        <w:rPr>
          <w:rFonts w:hint="eastAsia"/>
        </w:rPr>
      </w:pPr>
      <w:r>
        <w:rPr>
          <w:rFonts w:hint="eastAsia"/>
        </w:rPr>
        <w:t>综合评价情况及评价结论</w:t>
      </w:r>
    </w:p>
    <w:p w14:paraId="636FAADD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按照《2023年度新晃县文化旅游广电体育局整体支出绩效自评表》，评价工作组对新晃县文化旅游广电体育局2023年度体育彩票奖励项目进行评价的评分分值为98分，评价结论为优秀。</w:t>
      </w:r>
    </w:p>
    <w:p w14:paraId="72A3EAF1">
      <w:pPr>
        <w:pStyle w:val="3"/>
        <w:bidi w:val="0"/>
        <w:rPr>
          <w:rFonts w:hint="eastAsia"/>
        </w:rPr>
      </w:pPr>
      <w:r>
        <w:rPr>
          <w:rFonts w:hint="eastAsia"/>
        </w:rPr>
        <w:t>四、绩效评价指标分析</w:t>
      </w:r>
    </w:p>
    <w:p w14:paraId="02866DA6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（一）项目决策情况。</w:t>
      </w:r>
    </w:p>
    <w:p w14:paraId="0DCF0763">
      <w:pPr>
        <w:spacing w:line="560" w:lineRule="exact"/>
        <w:ind w:left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>1、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确定项目决策的范畴：根据项目的阶段和内容，确定哪些方面的决策需要被记录和总结，包括目标、资源、进度、风险等方面。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2、梳理并整理决策信息：收集和整理涉及到的各种决策信息，包括决策的时间、主要内容、影响因素和决策结果等方面。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br w:type="textWrapping"/>
      </w:r>
      <w:r>
        <w:rPr>
          <w:rFonts w:hint="eastAsia" w:ascii="仿宋_GB2312" w:eastAsia="仿宋_GB2312" w:cs="Times New Roman"/>
          <w:sz w:val="32"/>
          <w:szCs w:val="32"/>
          <w:lang w:val="en-US" w:eastAsia="zh-CN" w:bidi="ar-SA"/>
        </w:rPr>
        <w:t xml:space="preserve">    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3、分析和评价决策效果：对每一项决策进行分析和评价，考察其是否符合预期目标，产生积极的效果，以及存在的问题和不足之处等。</w:t>
      </w:r>
    </w:p>
    <w:p w14:paraId="57A8FEA2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（二）项目过程情况。</w:t>
      </w:r>
    </w:p>
    <w:p w14:paraId="4C652266">
      <w:pPr>
        <w:pStyle w:val="7"/>
        <w:widowControl w:val="0"/>
        <w:spacing w:before="0" w:beforeAutospacing="0" w:after="0" w:afterAutospacing="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 w:bidi="ar-SA"/>
        </w:rPr>
        <w:t>严格执行项目活动申报、审核、拨付、管理等全过程，实行了全面负责。</w:t>
      </w:r>
    </w:p>
    <w:p w14:paraId="4F9BE043">
      <w:pPr>
        <w:numPr>
          <w:ilvl w:val="0"/>
          <w:numId w:val="1"/>
        </w:num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</w:p>
    <w:p w14:paraId="63ED2639">
      <w:pPr>
        <w:pStyle w:val="2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数量指标：</w:t>
      </w:r>
      <w:r>
        <w:rPr>
          <w:rFonts w:hint="eastAsia" w:ascii="仿宋_GB2312" w:eastAsia="仿宋_GB2312"/>
          <w:color w:val="auto"/>
          <w:sz w:val="32"/>
          <w:szCs w:val="32"/>
        </w:rPr>
        <w:t>销售额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达到11200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;</w:t>
      </w:r>
      <w:r>
        <w:rPr>
          <w:rFonts w:hint="eastAsia" w:ascii="仿宋_GB2312" w:eastAsia="仿宋_GB2312"/>
          <w:sz w:val="32"/>
          <w:szCs w:val="32"/>
        </w:rPr>
        <w:t>推广销售活动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12次。</w:t>
      </w:r>
    </w:p>
    <w:p w14:paraId="6768D147">
      <w:pPr>
        <w:pStyle w:val="2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质量指标：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体育彩票宣传率达到90%</w:t>
      </w:r>
      <w:r>
        <w:rPr>
          <w:rFonts w:hint="eastAsia" w:ascii="仿宋_GB2312" w:eastAsia="仿宋_GB2312"/>
          <w:sz w:val="32"/>
          <w:szCs w:val="32"/>
        </w:rPr>
        <w:t>；</w:t>
      </w:r>
    </w:p>
    <w:p w14:paraId="06694CB9">
      <w:pPr>
        <w:pStyle w:val="2"/>
        <w:ind w:firstLine="960" w:firstLineChars="3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时效指标：202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年12月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31日之前</w:t>
      </w:r>
      <w:r>
        <w:rPr>
          <w:rFonts w:hint="eastAsia" w:ascii="仿宋_GB2312" w:eastAsia="仿宋_GB2312"/>
          <w:sz w:val="32"/>
          <w:szCs w:val="32"/>
        </w:rPr>
        <w:t>完成；</w:t>
      </w:r>
    </w:p>
    <w:p w14:paraId="55445C9D">
      <w:pPr>
        <w:pStyle w:val="2"/>
        <w:ind w:firstLine="960" w:firstLineChars="3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社会效益指标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加强体彩销售管理，促进体彩销售</w:t>
      </w:r>
    </w:p>
    <w:p w14:paraId="5F343585">
      <w:pPr>
        <w:numPr>
          <w:ilvl w:val="0"/>
          <w:numId w:val="1"/>
        </w:num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项目效益情况。</w:t>
      </w:r>
    </w:p>
    <w:p w14:paraId="696E89B5"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可持续影响指标：长期加强体彩销售管理，促进体彩销售；</w:t>
      </w:r>
    </w:p>
    <w:p w14:paraId="53E47644">
      <w:pPr>
        <w:spacing w:line="560" w:lineRule="exact"/>
        <w:ind w:left="0"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社会公众或服务对象满意度指标，公众满意度≥90%，干部职工满意度≥100%。</w:t>
      </w:r>
    </w:p>
    <w:p w14:paraId="719D522F">
      <w:pPr>
        <w:pStyle w:val="3"/>
        <w:numPr>
          <w:ilvl w:val="0"/>
          <w:numId w:val="2"/>
        </w:numPr>
        <w:bidi w:val="0"/>
        <w:rPr>
          <w:rFonts w:hint="eastAsia"/>
        </w:rPr>
      </w:pPr>
      <w:r>
        <w:rPr>
          <w:rFonts w:hint="eastAsia"/>
        </w:rPr>
        <w:t>主要经验及做法、存在的问题及原因分析</w:t>
      </w:r>
    </w:p>
    <w:p w14:paraId="1FE9FAF7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04AA7B7B">
      <w:pPr>
        <w:pStyle w:val="3"/>
        <w:numPr>
          <w:ilvl w:val="0"/>
          <w:numId w:val="2"/>
        </w:numPr>
        <w:bidi w:val="0"/>
        <w:rPr>
          <w:rFonts w:hint="eastAsia"/>
        </w:rPr>
      </w:pPr>
      <w:r>
        <w:rPr>
          <w:rFonts w:hint="eastAsia"/>
        </w:rPr>
        <w:t>有关建议</w:t>
      </w:r>
    </w:p>
    <w:p w14:paraId="13198A44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无</w:t>
      </w:r>
    </w:p>
    <w:p w14:paraId="5A36AA36">
      <w:pPr>
        <w:pStyle w:val="3"/>
        <w:numPr>
          <w:ilvl w:val="0"/>
          <w:numId w:val="2"/>
        </w:numPr>
        <w:bidi w:val="0"/>
        <w:rPr>
          <w:rFonts w:hint="eastAsia"/>
        </w:rPr>
      </w:pPr>
      <w:r>
        <w:rPr>
          <w:rFonts w:hint="eastAsia"/>
        </w:rPr>
        <w:t>其他需要说明的问题</w:t>
      </w:r>
    </w:p>
    <w:p w14:paraId="19E8314C">
      <w:pPr>
        <w:bidi w:val="0"/>
        <w:rPr>
          <w:rFonts w:hint="eastAsia"/>
        </w:rPr>
      </w:pPr>
      <w:r>
        <w:rPr>
          <w:rFonts w:hint="eastAsia"/>
          <w:lang w:val="en-US" w:eastAsia="zh-CN"/>
        </w:rPr>
        <w:t>无</w:t>
      </w:r>
    </w:p>
    <w:p w14:paraId="2E75A05A">
      <w:pPr>
        <w:pStyle w:val="7"/>
        <w:widowControl w:val="0"/>
        <w:spacing w:before="0" w:beforeAutospacing="0" w:after="0" w:afterAutospacing="0" w:line="52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 </w:t>
      </w:r>
    </w:p>
    <w:p w14:paraId="0EDFBB1C">
      <w:pPr>
        <w:ind w:left="8960" w:hanging="8960" w:hangingChars="28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 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新晃侗族自治县文化广电体育局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</w:t>
      </w:r>
    </w:p>
    <w:p w14:paraId="646E0369">
      <w:pPr>
        <w:ind w:left="0" w:leftChars="0"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年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7CA4ACF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A27737"/>
    <w:multiLevelType w:val="singleLevel"/>
    <w:tmpl w:val="44A2773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5015D99A"/>
    <w:multiLevelType w:val="singleLevel"/>
    <w:tmpl w:val="5015D99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4OTVmMDU1OTE1MGY2MTI1NTk2MTNhNTc0ZmEyOWQifQ=="/>
  </w:docVars>
  <w:rsids>
    <w:rsidRoot w:val="430E62D4"/>
    <w:rsid w:val="0E3D754E"/>
    <w:rsid w:val="1457704A"/>
    <w:rsid w:val="16445BF1"/>
    <w:rsid w:val="271E5FE8"/>
    <w:rsid w:val="2FF56CFE"/>
    <w:rsid w:val="369D265C"/>
    <w:rsid w:val="3A4D781C"/>
    <w:rsid w:val="3FC45529"/>
    <w:rsid w:val="430E62D4"/>
    <w:rsid w:val="46164604"/>
    <w:rsid w:val="47B242DE"/>
    <w:rsid w:val="5057463D"/>
    <w:rsid w:val="5314565B"/>
    <w:rsid w:val="56677575"/>
    <w:rsid w:val="5F4146C0"/>
    <w:rsid w:val="619F14FA"/>
    <w:rsid w:val="63247F09"/>
    <w:rsid w:val="646B6339"/>
    <w:rsid w:val="655820EC"/>
    <w:rsid w:val="659D3FA3"/>
    <w:rsid w:val="66B71094"/>
    <w:rsid w:val="717936CB"/>
    <w:rsid w:val="72ED3A82"/>
    <w:rsid w:val="74884070"/>
    <w:rsid w:val="750C6A4F"/>
    <w:rsid w:val="7EB1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240" w:lineRule="auto"/>
      <w:ind w:left="0" w:firstLine="482" w:firstLineChars="200"/>
      <w:jc w:val="both"/>
      <w:textAlignment w:val="bottom"/>
    </w:pPr>
    <w:rPr>
      <w:rFonts w:ascii="Times New Roman" w:hAnsi="Times New Roman" w:eastAsia="仿宋" w:cs="Times New Roman"/>
      <w:sz w:val="28"/>
      <w:lang w:val="en-US" w:eastAsia="zh-CN" w:bidi="ar-SA"/>
    </w:rPr>
  </w:style>
  <w:style w:type="paragraph" w:styleId="3">
    <w:name w:val="heading 2"/>
    <w:basedOn w:val="1"/>
    <w:next w:val="1"/>
    <w:link w:val="10"/>
    <w:autoRedefine/>
    <w:unhideWhenUsed/>
    <w:qFormat/>
    <w:uiPriority w:val="0"/>
    <w:pPr>
      <w:keepNext/>
      <w:keepLines/>
      <w:spacing w:beforeLines="0" w:beforeAutospacing="0" w:afterLines="0" w:afterAutospacing="0" w:line="240" w:lineRule="auto"/>
      <w:outlineLvl w:val="1"/>
    </w:pPr>
    <w:rPr>
      <w:rFonts w:ascii="Arial" w:hAnsi="Arial" w:eastAsia="宋体"/>
      <w:b/>
      <w:sz w:val="32"/>
    </w:rPr>
  </w:style>
  <w:style w:type="paragraph" w:styleId="4">
    <w:name w:val="heading 3"/>
    <w:basedOn w:val="1"/>
    <w:next w:val="1"/>
    <w:link w:val="11"/>
    <w:autoRedefine/>
    <w:unhideWhenUsed/>
    <w:qFormat/>
    <w:uiPriority w:val="0"/>
    <w:pPr>
      <w:keepNext/>
      <w:keepLines/>
      <w:spacing w:beforeAutospacing="0" w:afterAutospacing="0" w:line="240" w:lineRule="auto"/>
      <w:outlineLvl w:val="2"/>
    </w:pPr>
    <w:rPr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autoRedefine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宋体"/>
      <w:b/>
      <w:sz w:val="32"/>
    </w:rPr>
  </w:style>
  <w:style w:type="character" w:customStyle="1" w:styleId="11">
    <w:name w:val="标题 3 Char"/>
    <w:link w:val="4"/>
    <w:autoRedefine/>
    <w:qFormat/>
    <w:uiPriority w:val="0"/>
    <w:rPr>
      <w:rFonts w:eastAsia="仿宋"/>
      <w:sz w:val="32"/>
    </w:rPr>
  </w:style>
  <w:style w:type="paragraph" w:customStyle="1" w:styleId="12">
    <w:name w:val="Table Paragraph"/>
    <w:basedOn w:val="1"/>
    <w:autoRedefine/>
    <w:qFormat/>
    <w:uiPriority w:val="0"/>
    <w:pPr>
      <w:autoSpaceDE w:val="0"/>
      <w:autoSpaceDN w:val="0"/>
      <w:spacing w:line="240" w:lineRule="auto"/>
      <w:ind w:left="0"/>
      <w:jc w:val="left"/>
    </w:pPr>
    <w:rPr>
      <w:rFonts w:ascii="宋体" w:hAnsi="宋体" w:cs="宋体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3468</Words>
  <Characters>3692</Characters>
  <Lines>0</Lines>
  <Paragraphs>0</Paragraphs>
  <TotalTime>188</TotalTime>
  <ScaleCrop>false</ScaleCrop>
  <LinksUpToDate>false</LinksUpToDate>
  <CharactersWithSpaces>3870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2024-04-08T07:42:00Z</dcterms:created>
  <dc:creator>Administrator</dc:creator>
  <cp:lastModifiedBy>WPS_1559710913</cp:lastModifiedBy>
  <cp:lastPrinted>2024-04-18T03:23:00Z</cp:lastPrinted>
  <dcterms:modified xsi:type="dcterms:W3CDTF">2024-07-22T02:47:43Z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31181F1924A441DB8F8DED1F6748158D_13</vt:lpwstr>
  </property>
</Properties>
</file>