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B69CEB">
      <w:pPr>
        <w:spacing w:before="100" w:beforeAutospacing="1" w:after="100" w:afterAutospacing="1" w:line="240" w:lineRule="exact"/>
        <w:jc w:val="left"/>
        <w:rPr>
          <w:rFonts w:hint="eastAsia" w:ascii="仿宋_GB2312" w:hAnsi="仿宋_GB2312" w:eastAsia="仿宋_GB2312" w:cs="仿宋_GB2312"/>
          <w:sz w:val="24"/>
        </w:rPr>
      </w:pPr>
      <w:r>
        <w:rPr>
          <w:rFonts w:hint="eastAsia" w:ascii="仿宋_GB2312" w:hAnsi="仿宋_GB2312" w:eastAsia="仿宋_GB2312" w:cs="仿宋_GB2312"/>
          <w:b/>
          <w:sz w:val="24"/>
        </w:rPr>
        <w:t>附件2-1</w:t>
      </w:r>
    </w:p>
    <w:p w14:paraId="02ED634A">
      <w:pPr>
        <w:spacing w:line="480" w:lineRule="exact"/>
        <w:jc w:val="center"/>
        <w:rPr>
          <w:rFonts w:ascii="宋体" w:hAnsi="宋体"/>
          <w:b/>
          <w:w w:val="85"/>
          <w:sz w:val="36"/>
          <w:szCs w:val="36"/>
        </w:rPr>
      </w:pPr>
      <w:r>
        <w:rPr>
          <w:rFonts w:hint="eastAsia" w:ascii="宋体" w:hAnsi="宋体"/>
          <w:b/>
          <w:w w:val="85"/>
          <w:sz w:val="36"/>
          <w:szCs w:val="36"/>
          <w:lang w:eastAsia="zh-CN"/>
        </w:rPr>
        <w:t>2023</w:t>
      </w:r>
      <w:r>
        <w:rPr>
          <w:rFonts w:ascii="宋体" w:hAnsi="宋体"/>
          <w:b/>
          <w:w w:val="85"/>
          <w:sz w:val="36"/>
          <w:szCs w:val="36"/>
        </w:rPr>
        <w:t>年度新晃县项目</w:t>
      </w:r>
      <w:r>
        <w:rPr>
          <w:rFonts w:hint="eastAsia" w:ascii="宋体" w:hAnsi="宋体"/>
          <w:b/>
          <w:w w:val="85"/>
          <w:sz w:val="36"/>
          <w:szCs w:val="36"/>
        </w:rPr>
        <w:t>支出</w:t>
      </w:r>
      <w:r>
        <w:rPr>
          <w:rFonts w:ascii="宋体" w:hAnsi="宋体"/>
          <w:b/>
          <w:w w:val="85"/>
          <w:sz w:val="36"/>
          <w:szCs w:val="36"/>
        </w:rPr>
        <w:t>绩效</w:t>
      </w:r>
      <w:r>
        <w:rPr>
          <w:rFonts w:hint="eastAsia" w:ascii="宋体" w:hAnsi="宋体"/>
          <w:b/>
          <w:w w:val="85"/>
          <w:sz w:val="36"/>
          <w:szCs w:val="36"/>
        </w:rPr>
        <w:t>自评</w:t>
      </w:r>
      <w:r>
        <w:rPr>
          <w:rFonts w:ascii="宋体" w:hAnsi="宋体"/>
          <w:b/>
          <w:w w:val="85"/>
          <w:sz w:val="36"/>
          <w:szCs w:val="36"/>
        </w:rPr>
        <w:t>表</w:t>
      </w:r>
    </w:p>
    <w:p w14:paraId="04464E22">
      <w:pPr>
        <w:spacing w:before="156" w:beforeLines="50" w:line="240" w:lineRule="exact"/>
        <w:ind w:firstLine="482"/>
        <w:jc w:val="center"/>
        <w:rPr>
          <w:rFonts w:eastAsia="仿宋_GB2312"/>
          <w:sz w:val="18"/>
          <w:szCs w:val="18"/>
        </w:rPr>
      </w:pPr>
      <w:r>
        <w:rPr>
          <w:sz w:val="24"/>
        </w:rPr>
        <w:t xml:space="preserve">                                                  </w:t>
      </w:r>
      <w:r>
        <w:rPr>
          <w:rFonts w:eastAsia="仿宋_GB2312"/>
          <w:sz w:val="18"/>
          <w:szCs w:val="18"/>
        </w:rPr>
        <w:t>金额单位：万元</w:t>
      </w:r>
    </w:p>
    <w:tbl>
      <w:tblPr>
        <w:tblStyle w:val="3"/>
        <w:tblpPr w:leftFromText="180" w:rightFromText="180" w:vertAnchor="text" w:horzAnchor="page" w:tblpX="1195" w:tblpY="107"/>
        <w:tblOverlap w:val="never"/>
        <w:tblW w:w="9888" w:type="dxa"/>
        <w:tblCellSpacing w:w="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312"/>
        <w:gridCol w:w="1143"/>
        <w:gridCol w:w="1800"/>
        <w:gridCol w:w="1628"/>
        <w:gridCol w:w="1097"/>
        <w:gridCol w:w="1206"/>
        <w:gridCol w:w="832"/>
        <w:gridCol w:w="870"/>
      </w:tblGrid>
      <w:tr w14:paraId="22D2EB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0" w:hRule="atLeast"/>
          <w:tblCellSpacing w:w="0" w:type="dxa"/>
        </w:trPr>
        <w:tc>
          <w:tcPr>
            <w:tcW w:w="1312" w:type="dxa"/>
            <w:noWrap w:val="0"/>
            <w:tcMar>
              <w:top w:w="0" w:type="dxa"/>
              <w:left w:w="105" w:type="dxa"/>
              <w:bottom w:w="0" w:type="dxa"/>
              <w:right w:w="105" w:type="dxa"/>
            </w:tcMar>
            <w:vAlign w:val="center"/>
          </w:tcPr>
          <w:p w14:paraId="752AE6C0">
            <w:pPr>
              <w:spacing w:line="320" w:lineRule="exact"/>
              <w:ind w:left="1" w:firstLine="0" w:firstLineChars="0"/>
              <w:jc w:val="center"/>
              <w:rPr>
                <w:rFonts w:hint="eastAsia" w:ascii="仿宋_GB2312" w:hAnsi="仿宋_GB2312" w:eastAsia="仿宋_GB2312" w:cs="仿宋_GB2312"/>
                <w:sz w:val="20"/>
                <w:szCs w:val="21"/>
              </w:rPr>
            </w:pPr>
            <w:r>
              <w:rPr>
                <w:rFonts w:hint="eastAsia" w:ascii="仿宋_GB2312" w:hAnsi="仿宋_GB2312" w:eastAsia="仿宋_GB2312" w:cs="仿宋_GB2312"/>
                <w:sz w:val="20"/>
                <w:szCs w:val="21"/>
              </w:rPr>
              <w:t>项目单位</w:t>
            </w:r>
          </w:p>
          <w:p w14:paraId="662A2589">
            <w:pPr>
              <w:spacing w:line="320" w:lineRule="exact"/>
              <w:ind w:left="1" w:firstLine="0" w:firstLineChars="0"/>
              <w:jc w:val="center"/>
              <w:rPr>
                <w:rFonts w:hint="eastAsia" w:ascii="仿宋_GB2312" w:hAnsi="仿宋_GB2312" w:eastAsia="仿宋_GB2312" w:cs="仿宋_GB2312"/>
                <w:sz w:val="20"/>
                <w:szCs w:val="21"/>
              </w:rPr>
            </w:pPr>
            <w:r>
              <w:rPr>
                <w:rFonts w:hint="eastAsia" w:ascii="仿宋_GB2312" w:hAnsi="仿宋_GB2312" w:eastAsia="仿宋_GB2312" w:cs="仿宋_GB2312"/>
                <w:sz w:val="20"/>
                <w:szCs w:val="21"/>
              </w:rPr>
              <w:t>名称</w:t>
            </w:r>
          </w:p>
        </w:tc>
        <w:tc>
          <w:tcPr>
            <w:tcW w:w="2943" w:type="dxa"/>
            <w:gridSpan w:val="2"/>
            <w:noWrap w:val="0"/>
            <w:tcMar>
              <w:top w:w="0" w:type="dxa"/>
              <w:left w:w="105" w:type="dxa"/>
              <w:bottom w:w="0" w:type="dxa"/>
              <w:right w:w="105" w:type="dxa"/>
            </w:tcMar>
            <w:vAlign w:val="center"/>
          </w:tcPr>
          <w:p w14:paraId="13A748F2">
            <w:pPr>
              <w:spacing w:line="320" w:lineRule="exact"/>
              <w:ind w:left="1" w:firstLine="0" w:firstLineChars="0"/>
              <w:jc w:val="center"/>
              <w:rPr>
                <w:rFonts w:hint="eastAsia" w:ascii="仿宋_GB2312" w:hAnsi="仿宋_GB2312" w:eastAsia="仿宋_GB2312" w:cs="仿宋_GB2312"/>
                <w:sz w:val="20"/>
                <w:szCs w:val="21"/>
              </w:rPr>
            </w:pPr>
            <w:r>
              <w:rPr>
                <w:rFonts w:hint="eastAsia" w:ascii="仿宋_GB2312" w:hAnsi="仿宋_GB2312" w:eastAsia="仿宋_GB2312" w:cs="仿宋_GB2312"/>
                <w:sz w:val="20"/>
                <w:szCs w:val="21"/>
                <w:lang w:val="en-US" w:eastAsia="zh-CN"/>
              </w:rPr>
              <w:t>新晃侗族自治县文化旅游广电体育局</w:t>
            </w:r>
          </w:p>
        </w:tc>
        <w:tc>
          <w:tcPr>
            <w:tcW w:w="1628" w:type="dxa"/>
            <w:noWrap w:val="0"/>
            <w:tcMar>
              <w:top w:w="0" w:type="dxa"/>
              <w:left w:w="105" w:type="dxa"/>
              <w:bottom w:w="0" w:type="dxa"/>
              <w:right w:w="105" w:type="dxa"/>
            </w:tcMar>
            <w:vAlign w:val="center"/>
          </w:tcPr>
          <w:p w14:paraId="2CC0327A">
            <w:pPr>
              <w:spacing w:line="320" w:lineRule="exact"/>
              <w:ind w:left="1" w:firstLine="0" w:firstLineChars="0"/>
              <w:jc w:val="center"/>
              <w:rPr>
                <w:rFonts w:hint="eastAsia" w:ascii="仿宋_GB2312" w:hAnsi="仿宋_GB2312" w:eastAsia="仿宋_GB2312" w:cs="仿宋_GB2312"/>
                <w:sz w:val="20"/>
                <w:szCs w:val="21"/>
              </w:rPr>
            </w:pPr>
            <w:r>
              <w:rPr>
                <w:rFonts w:hint="eastAsia" w:ascii="仿宋_GB2312" w:hAnsi="仿宋_GB2312" w:eastAsia="仿宋_GB2312" w:cs="仿宋_GB2312"/>
                <w:sz w:val="20"/>
                <w:szCs w:val="21"/>
              </w:rPr>
              <w:t>项目名称</w:t>
            </w:r>
          </w:p>
        </w:tc>
        <w:tc>
          <w:tcPr>
            <w:tcW w:w="4005" w:type="dxa"/>
            <w:gridSpan w:val="4"/>
            <w:noWrap w:val="0"/>
            <w:tcMar>
              <w:top w:w="0" w:type="dxa"/>
              <w:left w:w="105" w:type="dxa"/>
              <w:bottom w:w="0" w:type="dxa"/>
              <w:right w:w="105" w:type="dxa"/>
            </w:tcMar>
            <w:vAlign w:val="center"/>
          </w:tcPr>
          <w:p w14:paraId="68CD9609">
            <w:pPr>
              <w:spacing w:line="320" w:lineRule="exact"/>
              <w:ind w:left="1" w:firstLine="0" w:firstLineChars="0"/>
              <w:jc w:val="center"/>
              <w:rPr>
                <w:rFonts w:hint="eastAsia" w:ascii="仿宋_GB2312" w:hAnsi="仿宋_GB2312" w:eastAsia="仿宋_GB2312" w:cs="仿宋_GB2312"/>
                <w:sz w:val="20"/>
                <w:szCs w:val="21"/>
              </w:rPr>
            </w:pPr>
            <w:r>
              <w:rPr>
                <w:rFonts w:hint="eastAsia" w:ascii="仿宋_GB2312" w:hAnsi="仿宋_GB2312" w:eastAsia="仿宋_GB2312" w:cs="仿宋_GB2312"/>
                <w:sz w:val="20"/>
                <w:szCs w:val="21"/>
              </w:rPr>
              <w:t>地方公共文化服务体系建设及奖补资金的项目</w:t>
            </w:r>
          </w:p>
        </w:tc>
      </w:tr>
      <w:tr w14:paraId="138A3C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5" w:hRule="atLeast"/>
          <w:tblCellSpacing w:w="0" w:type="dxa"/>
        </w:trPr>
        <w:tc>
          <w:tcPr>
            <w:tcW w:w="1312" w:type="dxa"/>
            <w:noWrap w:val="0"/>
            <w:tcMar>
              <w:top w:w="0" w:type="dxa"/>
              <w:left w:w="105" w:type="dxa"/>
              <w:bottom w:w="0" w:type="dxa"/>
              <w:right w:w="105" w:type="dxa"/>
            </w:tcMar>
            <w:vAlign w:val="center"/>
          </w:tcPr>
          <w:p w14:paraId="6652A10C">
            <w:pPr>
              <w:spacing w:line="320" w:lineRule="exact"/>
              <w:ind w:left="1" w:firstLine="0" w:firstLineChars="0"/>
              <w:jc w:val="center"/>
              <w:rPr>
                <w:rFonts w:hint="eastAsia" w:ascii="仿宋_GB2312" w:hAnsi="仿宋_GB2312" w:eastAsia="仿宋_GB2312" w:cs="仿宋_GB2312"/>
                <w:sz w:val="20"/>
                <w:szCs w:val="21"/>
              </w:rPr>
            </w:pPr>
            <w:r>
              <w:rPr>
                <w:rFonts w:hint="eastAsia" w:ascii="仿宋_GB2312" w:hAnsi="仿宋_GB2312" w:eastAsia="仿宋_GB2312" w:cs="仿宋_GB2312"/>
                <w:sz w:val="20"/>
                <w:szCs w:val="21"/>
              </w:rPr>
              <w:t>项目</w:t>
            </w:r>
          </w:p>
          <w:p w14:paraId="1CBB8479">
            <w:pPr>
              <w:spacing w:line="320" w:lineRule="exact"/>
              <w:ind w:left="1" w:firstLine="0" w:firstLineChars="0"/>
              <w:jc w:val="center"/>
              <w:rPr>
                <w:rFonts w:hint="eastAsia" w:ascii="仿宋_GB2312" w:hAnsi="仿宋_GB2312" w:eastAsia="仿宋_GB2312" w:cs="仿宋_GB2312"/>
                <w:sz w:val="20"/>
                <w:szCs w:val="21"/>
              </w:rPr>
            </w:pPr>
            <w:r>
              <w:rPr>
                <w:rFonts w:hint="eastAsia" w:ascii="仿宋_GB2312" w:hAnsi="仿宋_GB2312" w:eastAsia="仿宋_GB2312" w:cs="仿宋_GB2312"/>
                <w:sz w:val="20"/>
                <w:szCs w:val="21"/>
              </w:rPr>
              <w:t>责任部门</w:t>
            </w:r>
          </w:p>
        </w:tc>
        <w:tc>
          <w:tcPr>
            <w:tcW w:w="2943" w:type="dxa"/>
            <w:gridSpan w:val="2"/>
            <w:noWrap w:val="0"/>
            <w:tcMar>
              <w:top w:w="0" w:type="dxa"/>
              <w:left w:w="105" w:type="dxa"/>
              <w:bottom w:w="0" w:type="dxa"/>
              <w:right w:w="105" w:type="dxa"/>
            </w:tcMar>
            <w:vAlign w:val="center"/>
          </w:tcPr>
          <w:p w14:paraId="4E5DDFF9">
            <w:pPr>
              <w:spacing w:line="320" w:lineRule="exact"/>
              <w:ind w:left="1" w:firstLine="0" w:firstLineChars="0"/>
              <w:jc w:val="center"/>
              <w:rPr>
                <w:rFonts w:hint="eastAsia" w:ascii="仿宋_GB2312" w:hAnsi="仿宋_GB2312" w:eastAsia="仿宋_GB2312" w:cs="仿宋_GB2312"/>
                <w:sz w:val="20"/>
                <w:szCs w:val="21"/>
              </w:rPr>
            </w:pPr>
            <w:r>
              <w:rPr>
                <w:rFonts w:hint="eastAsia" w:ascii="仿宋_GB2312" w:hAnsi="仿宋_GB2312" w:eastAsia="仿宋_GB2312" w:cs="仿宋_GB2312"/>
                <w:sz w:val="20"/>
                <w:szCs w:val="21"/>
                <w:lang w:val="en-US" w:eastAsia="zh-CN"/>
              </w:rPr>
              <w:t>新晃侗族自治县文化旅游广电体育局</w:t>
            </w:r>
          </w:p>
        </w:tc>
        <w:tc>
          <w:tcPr>
            <w:tcW w:w="1628" w:type="dxa"/>
            <w:noWrap w:val="0"/>
            <w:tcMar>
              <w:top w:w="0" w:type="dxa"/>
              <w:left w:w="105" w:type="dxa"/>
              <w:bottom w:w="0" w:type="dxa"/>
              <w:right w:w="105" w:type="dxa"/>
            </w:tcMar>
            <w:vAlign w:val="center"/>
          </w:tcPr>
          <w:p w14:paraId="41FE1687">
            <w:pPr>
              <w:spacing w:line="320" w:lineRule="exact"/>
              <w:ind w:left="1" w:firstLine="0" w:firstLineChars="0"/>
              <w:jc w:val="center"/>
              <w:rPr>
                <w:rFonts w:hint="eastAsia" w:ascii="仿宋_GB2312" w:hAnsi="仿宋_GB2312" w:eastAsia="仿宋_GB2312" w:cs="仿宋_GB2312"/>
                <w:sz w:val="20"/>
                <w:szCs w:val="21"/>
              </w:rPr>
            </w:pPr>
            <w:r>
              <w:rPr>
                <w:rFonts w:hint="eastAsia" w:ascii="仿宋_GB2312" w:hAnsi="仿宋_GB2312" w:eastAsia="仿宋_GB2312" w:cs="仿宋_GB2312"/>
                <w:sz w:val="20"/>
                <w:szCs w:val="21"/>
              </w:rPr>
              <w:t>项目负责人</w:t>
            </w:r>
          </w:p>
        </w:tc>
        <w:tc>
          <w:tcPr>
            <w:tcW w:w="1097" w:type="dxa"/>
            <w:noWrap w:val="0"/>
            <w:tcMar>
              <w:top w:w="0" w:type="dxa"/>
              <w:left w:w="105" w:type="dxa"/>
              <w:bottom w:w="0" w:type="dxa"/>
              <w:right w:w="105" w:type="dxa"/>
            </w:tcMar>
            <w:vAlign w:val="center"/>
          </w:tcPr>
          <w:p w14:paraId="4FD0C240">
            <w:pPr>
              <w:spacing w:line="320" w:lineRule="exact"/>
              <w:ind w:left="1" w:firstLine="0" w:firstLineChars="0"/>
              <w:jc w:val="center"/>
              <w:rPr>
                <w:rFonts w:hint="default" w:ascii="仿宋_GB2312" w:hAnsi="仿宋_GB2312" w:eastAsia="仿宋_GB2312" w:cs="仿宋_GB2312"/>
                <w:sz w:val="20"/>
                <w:szCs w:val="21"/>
                <w:lang w:val="en-US" w:eastAsia="zh-CN"/>
              </w:rPr>
            </w:pPr>
            <w:r>
              <w:rPr>
                <w:rFonts w:hint="eastAsia" w:ascii="仿宋_GB2312" w:hAnsi="仿宋_GB2312" w:eastAsia="仿宋_GB2312" w:cs="仿宋_GB2312"/>
                <w:sz w:val="20"/>
                <w:szCs w:val="21"/>
                <w:lang w:val="en-US" w:eastAsia="zh-CN"/>
              </w:rPr>
              <w:t>邹翠香</w:t>
            </w:r>
          </w:p>
        </w:tc>
        <w:tc>
          <w:tcPr>
            <w:tcW w:w="1206" w:type="dxa"/>
            <w:noWrap w:val="0"/>
            <w:tcMar>
              <w:top w:w="0" w:type="dxa"/>
              <w:left w:w="105" w:type="dxa"/>
              <w:bottom w:w="0" w:type="dxa"/>
              <w:right w:w="105" w:type="dxa"/>
            </w:tcMar>
            <w:vAlign w:val="center"/>
          </w:tcPr>
          <w:p w14:paraId="336C1049">
            <w:pPr>
              <w:spacing w:line="320" w:lineRule="exact"/>
              <w:ind w:left="1" w:firstLine="0" w:firstLineChars="0"/>
              <w:jc w:val="center"/>
              <w:rPr>
                <w:rFonts w:hint="eastAsia" w:ascii="仿宋_GB2312" w:hAnsi="仿宋_GB2312" w:eastAsia="仿宋_GB2312" w:cs="仿宋_GB2312"/>
                <w:sz w:val="20"/>
                <w:szCs w:val="21"/>
              </w:rPr>
            </w:pPr>
            <w:r>
              <w:rPr>
                <w:rFonts w:hint="eastAsia" w:ascii="仿宋_GB2312" w:hAnsi="仿宋_GB2312" w:eastAsia="仿宋_GB2312" w:cs="仿宋_GB2312"/>
                <w:sz w:val="20"/>
                <w:szCs w:val="21"/>
              </w:rPr>
              <w:t>联系电话</w:t>
            </w:r>
          </w:p>
        </w:tc>
        <w:tc>
          <w:tcPr>
            <w:tcW w:w="1702" w:type="dxa"/>
            <w:gridSpan w:val="2"/>
            <w:noWrap w:val="0"/>
            <w:tcMar>
              <w:top w:w="0" w:type="dxa"/>
              <w:left w:w="105" w:type="dxa"/>
              <w:bottom w:w="0" w:type="dxa"/>
              <w:right w:w="105" w:type="dxa"/>
            </w:tcMar>
            <w:vAlign w:val="center"/>
          </w:tcPr>
          <w:p w14:paraId="3AD8F363">
            <w:pPr>
              <w:spacing w:line="320" w:lineRule="exact"/>
              <w:ind w:left="1" w:firstLine="0" w:firstLineChars="0"/>
              <w:jc w:val="center"/>
              <w:rPr>
                <w:rFonts w:hint="default" w:ascii="仿宋_GB2312" w:hAnsi="仿宋_GB2312" w:eastAsia="仿宋_GB2312" w:cs="仿宋_GB2312"/>
                <w:sz w:val="20"/>
                <w:szCs w:val="21"/>
                <w:lang w:val="en-US" w:eastAsia="zh-CN"/>
              </w:rPr>
            </w:pPr>
            <w:r>
              <w:rPr>
                <w:rFonts w:hint="eastAsia" w:ascii="仿宋_GB2312" w:hAnsi="仿宋_GB2312" w:eastAsia="仿宋_GB2312" w:cs="仿宋_GB2312"/>
                <w:sz w:val="20"/>
                <w:szCs w:val="21"/>
                <w:lang w:val="en-US" w:eastAsia="zh-CN"/>
              </w:rPr>
              <w:t>6222245</w:t>
            </w:r>
          </w:p>
        </w:tc>
      </w:tr>
      <w:tr w14:paraId="2D5C74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91" w:hRule="atLeast"/>
          <w:tblCellSpacing w:w="0" w:type="dxa"/>
        </w:trPr>
        <w:tc>
          <w:tcPr>
            <w:tcW w:w="1312" w:type="dxa"/>
            <w:vMerge w:val="restart"/>
            <w:noWrap w:val="0"/>
            <w:tcMar>
              <w:top w:w="0" w:type="dxa"/>
              <w:left w:w="105" w:type="dxa"/>
              <w:bottom w:w="0" w:type="dxa"/>
              <w:right w:w="105" w:type="dxa"/>
            </w:tcMar>
            <w:vAlign w:val="center"/>
          </w:tcPr>
          <w:p w14:paraId="62F3208F">
            <w:pPr>
              <w:spacing w:line="320" w:lineRule="exact"/>
              <w:ind w:left="1" w:firstLine="0" w:firstLineChars="0"/>
              <w:jc w:val="center"/>
              <w:rPr>
                <w:rFonts w:hint="eastAsia" w:ascii="仿宋_GB2312" w:hAnsi="仿宋_GB2312" w:eastAsia="仿宋_GB2312" w:cs="仿宋_GB2312"/>
                <w:sz w:val="20"/>
                <w:szCs w:val="21"/>
              </w:rPr>
            </w:pPr>
            <w:r>
              <w:rPr>
                <w:rFonts w:hint="eastAsia" w:ascii="仿宋_GB2312" w:hAnsi="仿宋_GB2312" w:eastAsia="仿宋_GB2312" w:cs="仿宋_GB2312"/>
                <w:sz w:val="20"/>
                <w:szCs w:val="21"/>
              </w:rPr>
              <w:t>项目资金</w:t>
            </w:r>
          </w:p>
          <w:p w14:paraId="069D5B68">
            <w:pPr>
              <w:spacing w:line="320" w:lineRule="exact"/>
              <w:ind w:left="1" w:firstLine="0" w:firstLineChars="0"/>
              <w:jc w:val="center"/>
              <w:rPr>
                <w:rFonts w:hint="eastAsia" w:ascii="仿宋_GB2312" w:hAnsi="仿宋_GB2312" w:eastAsia="仿宋_GB2312" w:cs="仿宋_GB2312"/>
                <w:sz w:val="20"/>
                <w:szCs w:val="21"/>
              </w:rPr>
            </w:pPr>
            <w:r>
              <w:rPr>
                <w:rFonts w:hint="eastAsia" w:ascii="仿宋_GB2312" w:hAnsi="仿宋_GB2312" w:eastAsia="仿宋_GB2312" w:cs="仿宋_GB2312"/>
                <w:sz w:val="20"/>
                <w:szCs w:val="21"/>
              </w:rPr>
              <w:t>基本情况</w:t>
            </w:r>
          </w:p>
        </w:tc>
        <w:tc>
          <w:tcPr>
            <w:tcW w:w="1143" w:type="dxa"/>
            <w:noWrap w:val="0"/>
            <w:tcMar>
              <w:top w:w="0" w:type="dxa"/>
              <w:left w:w="105" w:type="dxa"/>
              <w:bottom w:w="0" w:type="dxa"/>
              <w:right w:w="105" w:type="dxa"/>
            </w:tcMar>
            <w:vAlign w:val="center"/>
          </w:tcPr>
          <w:p w14:paraId="31F03F8F">
            <w:pPr>
              <w:spacing w:line="320" w:lineRule="exact"/>
              <w:ind w:left="1" w:firstLine="0" w:firstLineChars="0"/>
              <w:jc w:val="center"/>
              <w:rPr>
                <w:rFonts w:hint="eastAsia" w:ascii="仿宋_GB2312" w:hAnsi="仿宋_GB2312" w:eastAsia="仿宋_GB2312" w:cs="仿宋_GB2312"/>
                <w:sz w:val="20"/>
                <w:szCs w:val="21"/>
              </w:rPr>
            </w:pPr>
            <w:r>
              <w:rPr>
                <w:rFonts w:hint="eastAsia" w:ascii="仿宋_GB2312" w:hAnsi="仿宋_GB2312" w:eastAsia="仿宋_GB2312" w:cs="仿宋_GB2312"/>
                <w:sz w:val="20"/>
                <w:szCs w:val="21"/>
              </w:rPr>
              <w:t>上年结转</w:t>
            </w:r>
          </w:p>
        </w:tc>
        <w:tc>
          <w:tcPr>
            <w:tcW w:w="1800" w:type="dxa"/>
            <w:noWrap w:val="0"/>
            <w:tcMar>
              <w:top w:w="0" w:type="dxa"/>
              <w:left w:w="105" w:type="dxa"/>
              <w:bottom w:w="0" w:type="dxa"/>
              <w:right w:w="105" w:type="dxa"/>
            </w:tcMar>
            <w:vAlign w:val="center"/>
          </w:tcPr>
          <w:p w14:paraId="40E33373">
            <w:pPr>
              <w:spacing w:line="320" w:lineRule="exact"/>
              <w:ind w:left="1" w:firstLine="0" w:firstLineChars="0"/>
              <w:jc w:val="center"/>
              <w:rPr>
                <w:rFonts w:hint="eastAsia" w:ascii="仿宋_GB2312" w:hAnsi="仿宋_GB2312" w:eastAsia="仿宋_GB2312" w:cs="仿宋_GB2312"/>
                <w:sz w:val="20"/>
                <w:szCs w:val="21"/>
              </w:rPr>
            </w:pPr>
            <w:r>
              <w:rPr>
                <w:rFonts w:hint="eastAsia" w:ascii="仿宋_GB2312" w:hAnsi="仿宋_GB2312" w:eastAsia="仿宋_GB2312" w:cs="仿宋_GB2312"/>
                <w:sz w:val="20"/>
                <w:szCs w:val="21"/>
              </w:rPr>
              <w:t>年初预算安排数</w:t>
            </w:r>
          </w:p>
        </w:tc>
        <w:tc>
          <w:tcPr>
            <w:tcW w:w="1628" w:type="dxa"/>
            <w:noWrap w:val="0"/>
            <w:tcMar>
              <w:top w:w="0" w:type="dxa"/>
              <w:left w:w="105" w:type="dxa"/>
              <w:bottom w:w="0" w:type="dxa"/>
              <w:right w:w="105" w:type="dxa"/>
            </w:tcMar>
            <w:vAlign w:val="center"/>
          </w:tcPr>
          <w:p w14:paraId="1D9FF821">
            <w:pPr>
              <w:spacing w:line="320" w:lineRule="exact"/>
              <w:ind w:left="1" w:firstLine="0" w:firstLineChars="0"/>
              <w:jc w:val="center"/>
              <w:rPr>
                <w:rFonts w:hint="eastAsia" w:ascii="仿宋_GB2312" w:hAnsi="仿宋_GB2312" w:eastAsia="仿宋_GB2312" w:cs="仿宋_GB2312"/>
                <w:sz w:val="20"/>
                <w:szCs w:val="21"/>
              </w:rPr>
            </w:pPr>
            <w:r>
              <w:rPr>
                <w:rFonts w:hint="eastAsia" w:ascii="仿宋_GB2312" w:hAnsi="仿宋_GB2312" w:eastAsia="仿宋_GB2312" w:cs="仿宋_GB2312"/>
                <w:sz w:val="20"/>
                <w:szCs w:val="21"/>
              </w:rPr>
              <w:t>预算调整数</w:t>
            </w:r>
          </w:p>
        </w:tc>
        <w:tc>
          <w:tcPr>
            <w:tcW w:w="2303" w:type="dxa"/>
            <w:gridSpan w:val="2"/>
            <w:noWrap w:val="0"/>
            <w:tcMar>
              <w:top w:w="0" w:type="dxa"/>
              <w:left w:w="105" w:type="dxa"/>
              <w:bottom w:w="0" w:type="dxa"/>
              <w:right w:w="105" w:type="dxa"/>
            </w:tcMar>
            <w:vAlign w:val="center"/>
          </w:tcPr>
          <w:p w14:paraId="77E7C871">
            <w:pPr>
              <w:spacing w:line="320" w:lineRule="exact"/>
              <w:ind w:left="1" w:firstLine="0" w:firstLineChars="0"/>
              <w:jc w:val="center"/>
              <w:rPr>
                <w:rFonts w:hint="eastAsia" w:ascii="仿宋_GB2312" w:hAnsi="仿宋_GB2312" w:eastAsia="仿宋_GB2312" w:cs="仿宋_GB2312"/>
                <w:sz w:val="20"/>
                <w:szCs w:val="21"/>
              </w:rPr>
            </w:pPr>
            <w:r>
              <w:rPr>
                <w:rFonts w:hint="eastAsia" w:ascii="仿宋_GB2312" w:hAnsi="仿宋_GB2312" w:eastAsia="仿宋_GB2312" w:cs="仿宋_GB2312"/>
                <w:sz w:val="20"/>
                <w:szCs w:val="21"/>
              </w:rPr>
              <w:t>全年执行数</w:t>
            </w:r>
          </w:p>
        </w:tc>
        <w:tc>
          <w:tcPr>
            <w:tcW w:w="1702" w:type="dxa"/>
            <w:gridSpan w:val="2"/>
            <w:noWrap w:val="0"/>
            <w:tcMar>
              <w:top w:w="0" w:type="dxa"/>
              <w:left w:w="105" w:type="dxa"/>
              <w:bottom w:w="0" w:type="dxa"/>
              <w:right w:w="105" w:type="dxa"/>
            </w:tcMar>
            <w:vAlign w:val="center"/>
          </w:tcPr>
          <w:p w14:paraId="595BCCB4">
            <w:pPr>
              <w:spacing w:line="320" w:lineRule="exact"/>
              <w:ind w:left="1" w:firstLine="0" w:firstLineChars="0"/>
              <w:jc w:val="center"/>
              <w:rPr>
                <w:rFonts w:hint="eastAsia" w:ascii="仿宋_GB2312" w:hAnsi="仿宋_GB2312" w:eastAsia="仿宋_GB2312" w:cs="仿宋_GB2312"/>
                <w:sz w:val="20"/>
                <w:szCs w:val="21"/>
              </w:rPr>
            </w:pPr>
            <w:r>
              <w:rPr>
                <w:rFonts w:hint="eastAsia" w:ascii="仿宋_GB2312" w:hAnsi="仿宋_GB2312" w:eastAsia="仿宋_GB2312" w:cs="仿宋_GB2312"/>
                <w:sz w:val="20"/>
                <w:szCs w:val="21"/>
              </w:rPr>
              <w:t>预算执行率</w:t>
            </w:r>
          </w:p>
        </w:tc>
      </w:tr>
      <w:tr w14:paraId="0636FA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5" w:hRule="atLeast"/>
          <w:tblCellSpacing w:w="0" w:type="dxa"/>
        </w:trPr>
        <w:tc>
          <w:tcPr>
            <w:tcW w:w="1312" w:type="dxa"/>
            <w:vMerge w:val="continue"/>
            <w:noWrap w:val="0"/>
            <w:vAlign w:val="center"/>
          </w:tcPr>
          <w:p w14:paraId="3F882A60">
            <w:pPr>
              <w:spacing w:line="320" w:lineRule="exact"/>
              <w:ind w:left="1" w:firstLine="0" w:firstLineChars="0"/>
              <w:jc w:val="center"/>
              <w:rPr>
                <w:rFonts w:hint="eastAsia" w:ascii="仿宋_GB2312" w:hAnsi="仿宋_GB2312" w:eastAsia="仿宋_GB2312" w:cs="仿宋_GB2312"/>
                <w:sz w:val="20"/>
                <w:szCs w:val="21"/>
              </w:rPr>
            </w:pPr>
          </w:p>
        </w:tc>
        <w:tc>
          <w:tcPr>
            <w:tcW w:w="1143" w:type="dxa"/>
            <w:noWrap w:val="0"/>
            <w:tcMar>
              <w:top w:w="0" w:type="dxa"/>
              <w:left w:w="105" w:type="dxa"/>
              <w:bottom w:w="0" w:type="dxa"/>
              <w:right w:w="105" w:type="dxa"/>
            </w:tcMar>
            <w:vAlign w:val="center"/>
          </w:tcPr>
          <w:p w14:paraId="146C5169">
            <w:pPr>
              <w:spacing w:line="320" w:lineRule="exact"/>
              <w:ind w:left="1" w:firstLine="0" w:firstLineChars="0"/>
              <w:jc w:val="center"/>
              <w:rPr>
                <w:rFonts w:hint="eastAsia" w:ascii="仿宋_GB2312" w:hAnsi="仿宋_GB2312" w:eastAsia="仿宋_GB2312" w:cs="仿宋_GB2312"/>
                <w:sz w:val="20"/>
                <w:szCs w:val="21"/>
                <w:lang w:val="en-US" w:eastAsia="zh-CN"/>
              </w:rPr>
            </w:pPr>
            <w:r>
              <w:rPr>
                <w:rFonts w:hint="eastAsia" w:ascii="仿宋_GB2312" w:hAnsi="仿宋_GB2312" w:eastAsia="仿宋_GB2312" w:cs="仿宋_GB2312"/>
                <w:sz w:val="20"/>
                <w:szCs w:val="21"/>
                <w:lang w:val="en-US" w:eastAsia="zh-CN"/>
              </w:rPr>
              <w:t>0</w:t>
            </w:r>
          </w:p>
        </w:tc>
        <w:tc>
          <w:tcPr>
            <w:tcW w:w="1800" w:type="dxa"/>
            <w:noWrap w:val="0"/>
            <w:tcMar>
              <w:top w:w="0" w:type="dxa"/>
              <w:left w:w="105" w:type="dxa"/>
              <w:bottom w:w="0" w:type="dxa"/>
              <w:right w:w="105" w:type="dxa"/>
            </w:tcMar>
            <w:vAlign w:val="center"/>
          </w:tcPr>
          <w:p w14:paraId="0D9D29AA">
            <w:pPr>
              <w:spacing w:line="320" w:lineRule="exact"/>
              <w:ind w:left="1" w:firstLine="0" w:firstLineChars="0"/>
              <w:jc w:val="center"/>
              <w:rPr>
                <w:rFonts w:hint="eastAsia" w:ascii="仿宋_GB2312" w:hAnsi="仿宋_GB2312" w:eastAsia="仿宋_GB2312" w:cs="仿宋_GB2312"/>
                <w:sz w:val="20"/>
                <w:szCs w:val="21"/>
              </w:rPr>
            </w:pPr>
            <w:r>
              <w:rPr>
                <w:rFonts w:hint="eastAsia" w:ascii="仿宋_GB2312" w:hAnsi="仿宋_GB2312" w:eastAsia="仿宋_GB2312" w:cs="仿宋_GB2312"/>
                <w:sz w:val="20"/>
                <w:szCs w:val="21"/>
                <w:lang w:val="en-US" w:eastAsia="zh-CN"/>
              </w:rPr>
              <w:t>285.82</w:t>
            </w:r>
          </w:p>
        </w:tc>
        <w:tc>
          <w:tcPr>
            <w:tcW w:w="1628" w:type="dxa"/>
            <w:noWrap w:val="0"/>
            <w:tcMar>
              <w:top w:w="0" w:type="dxa"/>
              <w:left w:w="105" w:type="dxa"/>
              <w:bottom w:w="0" w:type="dxa"/>
              <w:right w:w="105" w:type="dxa"/>
            </w:tcMar>
            <w:vAlign w:val="center"/>
          </w:tcPr>
          <w:p w14:paraId="5CA2290C">
            <w:pPr>
              <w:spacing w:line="320" w:lineRule="exact"/>
              <w:ind w:left="1" w:firstLine="0" w:firstLineChars="0"/>
              <w:jc w:val="center"/>
              <w:rPr>
                <w:rFonts w:hint="eastAsia" w:ascii="仿宋_GB2312" w:hAnsi="仿宋_GB2312" w:eastAsia="仿宋_GB2312" w:cs="仿宋_GB2312"/>
                <w:sz w:val="20"/>
                <w:szCs w:val="21"/>
                <w:lang w:val="en-US" w:eastAsia="zh-CN"/>
              </w:rPr>
            </w:pPr>
            <w:r>
              <w:rPr>
                <w:rFonts w:hint="eastAsia" w:ascii="仿宋_GB2312" w:hAnsi="仿宋_GB2312" w:eastAsia="仿宋_GB2312" w:cs="仿宋_GB2312"/>
                <w:sz w:val="20"/>
                <w:szCs w:val="21"/>
                <w:lang w:val="en-US" w:eastAsia="zh-CN"/>
              </w:rPr>
              <w:t>0</w:t>
            </w:r>
          </w:p>
        </w:tc>
        <w:tc>
          <w:tcPr>
            <w:tcW w:w="2303" w:type="dxa"/>
            <w:gridSpan w:val="2"/>
            <w:noWrap w:val="0"/>
            <w:tcMar>
              <w:top w:w="0" w:type="dxa"/>
              <w:left w:w="105" w:type="dxa"/>
              <w:bottom w:w="0" w:type="dxa"/>
              <w:right w:w="105" w:type="dxa"/>
            </w:tcMar>
            <w:vAlign w:val="center"/>
          </w:tcPr>
          <w:p w14:paraId="63DF898B">
            <w:pPr>
              <w:spacing w:line="320" w:lineRule="exact"/>
              <w:ind w:left="1" w:firstLine="0" w:firstLineChars="0"/>
              <w:jc w:val="center"/>
              <w:rPr>
                <w:rFonts w:hint="default" w:ascii="仿宋_GB2312" w:hAnsi="仿宋_GB2312" w:eastAsia="仿宋_GB2312" w:cs="仿宋_GB2312"/>
                <w:sz w:val="20"/>
                <w:szCs w:val="21"/>
                <w:lang w:val="en-US" w:eastAsia="zh-CN"/>
              </w:rPr>
            </w:pPr>
            <w:r>
              <w:rPr>
                <w:rFonts w:hint="eastAsia" w:ascii="仿宋_GB2312" w:hAnsi="仿宋_GB2312" w:eastAsia="仿宋_GB2312" w:cs="仿宋_GB2312"/>
                <w:sz w:val="20"/>
                <w:szCs w:val="21"/>
                <w:lang w:val="en-US" w:eastAsia="zh-CN"/>
              </w:rPr>
              <w:t>113.7</w:t>
            </w:r>
          </w:p>
        </w:tc>
        <w:tc>
          <w:tcPr>
            <w:tcW w:w="1702" w:type="dxa"/>
            <w:gridSpan w:val="2"/>
            <w:noWrap w:val="0"/>
            <w:tcMar>
              <w:top w:w="0" w:type="dxa"/>
              <w:left w:w="105" w:type="dxa"/>
              <w:bottom w:w="0" w:type="dxa"/>
              <w:right w:w="105" w:type="dxa"/>
            </w:tcMar>
            <w:vAlign w:val="center"/>
          </w:tcPr>
          <w:p w14:paraId="629C9EEA">
            <w:pPr>
              <w:spacing w:line="320" w:lineRule="exact"/>
              <w:ind w:left="1" w:firstLine="0" w:firstLineChars="0"/>
              <w:jc w:val="center"/>
              <w:rPr>
                <w:rFonts w:hint="default" w:ascii="仿宋_GB2312" w:hAnsi="仿宋_GB2312" w:eastAsia="仿宋_GB2312" w:cs="仿宋_GB2312"/>
                <w:sz w:val="20"/>
                <w:szCs w:val="21"/>
                <w:lang w:val="en-US" w:eastAsia="zh-CN"/>
              </w:rPr>
            </w:pPr>
            <w:r>
              <w:rPr>
                <w:rFonts w:hint="eastAsia" w:ascii="仿宋_GB2312" w:hAnsi="仿宋_GB2312" w:eastAsia="仿宋_GB2312" w:cs="仿宋_GB2312"/>
                <w:sz w:val="20"/>
                <w:szCs w:val="21"/>
                <w:lang w:val="en-US" w:eastAsia="zh-CN"/>
              </w:rPr>
              <w:t>39.78%</w:t>
            </w:r>
          </w:p>
        </w:tc>
      </w:tr>
      <w:tr w14:paraId="070B74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18" w:hRule="atLeast"/>
          <w:tblCellSpacing w:w="0" w:type="dxa"/>
        </w:trPr>
        <w:tc>
          <w:tcPr>
            <w:tcW w:w="1312" w:type="dxa"/>
            <w:noWrap w:val="0"/>
            <w:tcMar>
              <w:top w:w="0" w:type="dxa"/>
              <w:left w:w="105" w:type="dxa"/>
              <w:bottom w:w="0" w:type="dxa"/>
              <w:right w:w="105" w:type="dxa"/>
            </w:tcMar>
            <w:vAlign w:val="center"/>
          </w:tcPr>
          <w:p w14:paraId="282B8EE4">
            <w:pPr>
              <w:spacing w:line="320" w:lineRule="exact"/>
              <w:ind w:left="1" w:firstLine="0" w:firstLineChars="0"/>
              <w:jc w:val="center"/>
              <w:rPr>
                <w:rFonts w:hint="eastAsia" w:ascii="仿宋_GB2312" w:hAnsi="仿宋_GB2312" w:eastAsia="仿宋_GB2312" w:cs="仿宋_GB2312"/>
                <w:sz w:val="20"/>
                <w:szCs w:val="21"/>
              </w:rPr>
            </w:pPr>
            <w:r>
              <w:rPr>
                <w:rFonts w:hint="eastAsia" w:ascii="仿宋_GB2312" w:hAnsi="仿宋_GB2312" w:eastAsia="仿宋_GB2312" w:cs="仿宋_GB2312"/>
                <w:sz w:val="20"/>
                <w:szCs w:val="21"/>
              </w:rPr>
              <w:t>评价内容</w:t>
            </w:r>
          </w:p>
        </w:tc>
        <w:tc>
          <w:tcPr>
            <w:tcW w:w="1143" w:type="dxa"/>
            <w:noWrap w:val="0"/>
            <w:tcMar>
              <w:top w:w="0" w:type="dxa"/>
              <w:left w:w="105" w:type="dxa"/>
              <w:bottom w:w="0" w:type="dxa"/>
              <w:right w:w="105" w:type="dxa"/>
            </w:tcMar>
            <w:vAlign w:val="center"/>
          </w:tcPr>
          <w:p w14:paraId="70F03F38">
            <w:pPr>
              <w:spacing w:line="320" w:lineRule="exact"/>
              <w:ind w:left="1" w:firstLine="0" w:firstLineChars="0"/>
              <w:jc w:val="center"/>
              <w:rPr>
                <w:rFonts w:hint="eastAsia" w:ascii="仿宋_GB2312" w:hAnsi="仿宋_GB2312" w:eastAsia="仿宋_GB2312" w:cs="仿宋_GB2312"/>
                <w:sz w:val="20"/>
                <w:szCs w:val="21"/>
              </w:rPr>
            </w:pPr>
            <w:r>
              <w:rPr>
                <w:rFonts w:hint="eastAsia" w:ascii="仿宋_GB2312" w:hAnsi="仿宋_GB2312" w:eastAsia="仿宋_GB2312" w:cs="仿宋_GB2312"/>
                <w:sz w:val="20"/>
                <w:szCs w:val="21"/>
              </w:rPr>
              <w:t>分值</w:t>
            </w:r>
          </w:p>
        </w:tc>
        <w:tc>
          <w:tcPr>
            <w:tcW w:w="5731" w:type="dxa"/>
            <w:gridSpan w:val="4"/>
            <w:noWrap w:val="0"/>
            <w:tcMar>
              <w:top w:w="0" w:type="dxa"/>
              <w:left w:w="105" w:type="dxa"/>
              <w:bottom w:w="0" w:type="dxa"/>
              <w:right w:w="105" w:type="dxa"/>
            </w:tcMar>
            <w:vAlign w:val="center"/>
          </w:tcPr>
          <w:p w14:paraId="08A229EB">
            <w:pPr>
              <w:spacing w:line="320" w:lineRule="exact"/>
              <w:ind w:left="1" w:firstLine="0" w:firstLineChars="0"/>
              <w:jc w:val="center"/>
              <w:rPr>
                <w:rFonts w:hint="eastAsia" w:ascii="仿宋_GB2312" w:hAnsi="仿宋_GB2312" w:eastAsia="仿宋_GB2312" w:cs="仿宋_GB2312"/>
                <w:sz w:val="20"/>
                <w:szCs w:val="21"/>
              </w:rPr>
            </w:pPr>
            <w:r>
              <w:rPr>
                <w:rFonts w:hint="eastAsia" w:ascii="仿宋_GB2312" w:hAnsi="仿宋_GB2312" w:eastAsia="仿宋_GB2312" w:cs="仿宋_GB2312"/>
                <w:sz w:val="20"/>
                <w:szCs w:val="21"/>
              </w:rPr>
              <w:t>评价简述</w:t>
            </w:r>
          </w:p>
        </w:tc>
        <w:tc>
          <w:tcPr>
            <w:tcW w:w="832" w:type="dxa"/>
            <w:noWrap w:val="0"/>
            <w:tcMar>
              <w:top w:w="0" w:type="dxa"/>
              <w:left w:w="105" w:type="dxa"/>
              <w:bottom w:w="0" w:type="dxa"/>
              <w:right w:w="105" w:type="dxa"/>
            </w:tcMar>
            <w:vAlign w:val="center"/>
          </w:tcPr>
          <w:p w14:paraId="0E042FAB">
            <w:pPr>
              <w:spacing w:line="320" w:lineRule="exact"/>
              <w:ind w:left="1" w:firstLine="0" w:firstLineChars="0"/>
              <w:jc w:val="center"/>
              <w:rPr>
                <w:rFonts w:hint="eastAsia" w:ascii="仿宋_GB2312" w:hAnsi="仿宋_GB2312" w:eastAsia="仿宋_GB2312" w:cs="仿宋_GB2312"/>
                <w:sz w:val="20"/>
                <w:szCs w:val="21"/>
              </w:rPr>
            </w:pPr>
            <w:r>
              <w:rPr>
                <w:rFonts w:hint="eastAsia" w:ascii="仿宋_GB2312" w:hAnsi="仿宋_GB2312" w:eastAsia="仿宋_GB2312" w:cs="仿宋_GB2312"/>
                <w:sz w:val="20"/>
                <w:szCs w:val="21"/>
              </w:rPr>
              <w:t>单位自评得分</w:t>
            </w:r>
          </w:p>
        </w:tc>
        <w:tc>
          <w:tcPr>
            <w:tcW w:w="870" w:type="dxa"/>
            <w:noWrap w:val="0"/>
            <w:tcMar>
              <w:top w:w="0" w:type="dxa"/>
              <w:left w:w="105" w:type="dxa"/>
              <w:bottom w:w="0" w:type="dxa"/>
              <w:right w:w="105" w:type="dxa"/>
            </w:tcMar>
            <w:vAlign w:val="center"/>
          </w:tcPr>
          <w:p w14:paraId="3D5052A7">
            <w:pPr>
              <w:spacing w:line="320" w:lineRule="exact"/>
              <w:ind w:left="1" w:firstLine="0" w:firstLineChars="0"/>
              <w:jc w:val="center"/>
              <w:rPr>
                <w:rFonts w:hint="eastAsia" w:ascii="仿宋_GB2312" w:hAnsi="仿宋_GB2312" w:eastAsia="仿宋_GB2312" w:cs="仿宋_GB2312"/>
                <w:sz w:val="20"/>
                <w:szCs w:val="21"/>
              </w:rPr>
            </w:pPr>
            <w:r>
              <w:rPr>
                <w:rFonts w:hint="eastAsia" w:ascii="仿宋_GB2312" w:hAnsi="仿宋_GB2312" w:eastAsia="仿宋_GB2312" w:cs="仿宋_GB2312"/>
                <w:sz w:val="20"/>
                <w:szCs w:val="21"/>
              </w:rPr>
              <w:t>财政复</w:t>
            </w:r>
          </w:p>
          <w:p w14:paraId="057FE7A8">
            <w:pPr>
              <w:spacing w:line="320" w:lineRule="exact"/>
              <w:ind w:left="1" w:firstLine="0" w:firstLineChars="0"/>
              <w:jc w:val="center"/>
              <w:rPr>
                <w:rFonts w:hint="eastAsia" w:ascii="仿宋_GB2312" w:hAnsi="仿宋_GB2312" w:eastAsia="仿宋_GB2312" w:cs="仿宋_GB2312"/>
                <w:sz w:val="20"/>
                <w:szCs w:val="21"/>
              </w:rPr>
            </w:pPr>
            <w:r>
              <w:rPr>
                <w:rFonts w:hint="eastAsia" w:ascii="仿宋_GB2312" w:hAnsi="仿宋_GB2312" w:eastAsia="仿宋_GB2312" w:cs="仿宋_GB2312"/>
                <w:sz w:val="20"/>
                <w:szCs w:val="21"/>
              </w:rPr>
              <w:t>评得分</w:t>
            </w:r>
          </w:p>
        </w:tc>
      </w:tr>
      <w:tr w14:paraId="212BC0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81" w:hRule="atLeast"/>
          <w:tblCellSpacing w:w="0" w:type="dxa"/>
        </w:trPr>
        <w:tc>
          <w:tcPr>
            <w:tcW w:w="1312" w:type="dxa"/>
            <w:noWrap w:val="0"/>
            <w:tcMar>
              <w:top w:w="0" w:type="dxa"/>
              <w:left w:w="105" w:type="dxa"/>
              <w:bottom w:w="0" w:type="dxa"/>
              <w:right w:w="105" w:type="dxa"/>
            </w:tcMar>
            <w:vAlign w:val="center"/>
          </w:tcPr>
          <w:p w14:paraId="283F3F34">
            <w:pPr>
              <w:spacing w:line="320" w:lineRule="exact"/>
              <w:ind w:left="1" w:firstLine="0" w:firstLineChars="0"/>
              <w:jc w:val="center"/>
              <w:rPr>
                <w:rFonts w:hint="eastAsia" w:ascii="仿宋_GB2312" w:hAnsi="仿宋_GB2312" w:eastAsia="仿宋_GB2312" w:cs="仿宋_GB2312"/>
                <w:sz w:val="20"/>
                <w:szCs w:val="21"/>
              </w:rPr>
            </w:pPr>
            <w:r>
              <w:rPr>
                <w:rFonts w:hint="eastAsia" w:ascii="仿宋_GB2312" w:hAnsi="仿宋_GB2312" w:eastAsia="仿宋_GB2312" w:cs="仿宋_GB2312"/>
                <w:sz w:val="20"/>
                <w:szCs w:val="21"/>
              </w:rPr>
              <w:t>项目预算及预期绩效目标编制水平</w:t>
            </w:r>
          </w:p>
        </w:tc>
        <w:tc>
          <w:tcPr>
            <w:tcW w:w="1143" w:type="dxa"/>
            <w:noWrap w:val="0"/>
            <w:tcMar>
              <w:top w:w="0" w:type="dxa"/>
              <w:left w:w="105" w:type="dxa"/>
              <w:bottom w:w="0" w:type="dxa"/>
              <w:right w:w="105" w:type="dxa"/>
            </w:tcMar>
            <w:vAlign w:val="center"/>
          </w:tcPr>
          <w:p w14:paraId="57D3FF9A">
            <w:pPr>
              <w:spacing w:line="320" w:lineRule="exact"/>
              <w:ind w:left="1" w:firstLine="0" w:firstLineChars="0"/>
              <w:jc w:val="center"/>
              <w:rPr>
                <w:rFonts w:hint="eastAsia" w:ascii="仿宋_GB2312" w:hAnsi="仿宋_GB2312" w:eastAsia="仿宋_GB2312" w:cs="仿宋_GB2312"/>
                <w:sz w:val="20"/>
                <w:szCs w:val="21"/>
              </w:rPr>
            </w:pPr>
            <w:r>
              <w:rPr>
                <w:rFonts w:hint="eastAsia" w:ascii="仿宋_GB2312" w:hAnsi="仿宋_GB2312" w:eastAsia="仿宋_GB2312" w:cs="仿宋_GB2312"/>
                <w:sz w:val="20"/>
                <w:szCs w:val="21"/>
              </w:rPr>
              <w:t>10</w:t>
            </w:r>
          </w:p>
        </w:tc>
        <w:tc>
          <w:tcPr>
            <w:tcW w:w="5731" w:type="dxa"/>
            <w:gridSpan w:val="4"/>
            <w:noWrap w:val="0"/>
            <w:tcMar>
              <w:top w:w="0" w:type="dxa"/>
              <w:left w:w="105" w:type="dxa"/>
              <w:bottom w:w="0" w:type="dxa"/>
              <w:right w:w="105" w:type="dxa"/>
            </w:tcMar>
            <w:vAlign w:val="center"/>
          </w:tcPr>
          <w:p w14:paraId="6AC228EC">
            <w:pPr>
              <w:spacing w:line="320" w:lineRule="exact"/>
              <w:ind w:left="1" w:firstLine="0" w:firstLineChars="0"/>
              <w:jc w:val="left"/>
              <w:rPr>
                <w:rFonts w:hint="eastAsia" w:ascii="仿宋_GB2312" w:hAnsi="仿宋_GB2312" w:eastAsia="仿宋_GB2312" w:cs="仿宋_GB2312"/>
                <w:sz w:val="20"/>
                <w:szCs w:val="21"/>
              </w:rPr>
            </w:pPr>
            <w:r>
              <w:rPr>
                <w:rFonts w:hint="eastAsia" w:ascii="仿宋_GB2312" w:hAnsi="仿宋_GB2312" w:eastAsia="仿宋_GB2312" w:cs="仿宋_GB2312"/>
                <w:sz w:val="20"/>
                <w:szCs w:val="21"/>
              </w:rPr>
              <w:t>本项目预算编制科学、规范、合理，预期绩效目标申报完整，产出、效果类关键性指标清晰、明确、量化，投入与项目产出、效果目标匹配。</w:t>
            </w:r>
          </w:p>
        </w:tc>
        <w:tc>
          <w:tcPr>
            <w:tcW w:w="832" w:type="dxa"/>
            <w:noWrap w:val="0"/>
            <w:tcMar>
              <w:top w:w="0" w:type="dxa"/>
              <w:left w:w="105" w:type="dxa"/>
              <w:bottom w:w="0" w:type="dxa"/>
              <w:right w:w="105" w:type="dxa"/>
            </w:tcMar>
            <w:vAlign w:val="center"/>
          </w:tcPr>
          <w:p w14:paraId="00EC8C05">
            <w:pPr>
              <w:spacing w:line="320" w:lineRule="exact"/>
              <w:ind w:left="1" w:firstLine="0" w:firstLineChars="0"/>
              <w:jc w:val="center"/>
              <w:rPr>
                <w:rFonts w:hint="default" w:ascii="仿宋_GB2312" w:hAnsi="仿宋_GB2312" w:eastAsia="仿宋_GB2312" w:cs="仿宋_GB2312"/>
                <w:sz w:val="20"/>
                <w:szCs w:val="21"/>
                <w:lang w:val="en-US" w:eastAsia="zh-CN"/>
              </w:rPr>
            </w:pPr>
            <w:r>
              <w:rPr>
                <w:rFonts w:hint="eastAsia" w:ascii="仿宋_GB2312" w:hAnsi="仿宋_GB2312" w:eastAsia="仿宋_GB2312" w:cs="仿宋_GB2312"/>
                <w:sz w:val="20"/>
                <w:szCs w:val="21"/>
                <w:lang w:val="en-US" w:eastAsia="zh-CN"/>
              </w:rPr>
              <w:t>10</w:t>
            </w:r>
          </w:p>
        </w:tc>
        <w:tc>
          <w:tcPr>
            <w:tcW w:w="870" w:type="dxa"/>
            <w:noWrap w:val="0"/>
            <w:tcMar>
              <w:top w:w="0" w:type="dxa"/>
              <w:left w:w="105" w:type="dxa"/>
              <w:bottom w:w="0" w:type="dxa"/>
              <w:right w:w="105" w:type="dxa"/>
            </w:tcMar>
            <w:vAlign w:val="center"/>
          </w:tcPr>
          <w:p w14:paraId="0740DBE0">
            <w:pPr>
              <w:spacing w:line="320" w:lineRule="exact"/>
              <w:ind w:left="1" w:firstLine="0" w:firstLineChars="0"/>
              <w:jc w:val="center"/>
              <w:rPr>
                <w:rFonts w:hint="eastAsia" w:ascii="仿宋_GB2312" w:hAnsi="仿宋_GB2312" w:eastAsia="仿宋_GB2312" w:cs="仿宋_GB2312"/>
                <w:sz w:val="20"/>
                <w:szCs w:val="21"/>
              </w:rPr>
            </w:pPr>
          </w:p>
        </w:tc>
      </w:tr>
      <w:tr w14:paraId="04C3DB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7" w:hRule="atLeast"/>
          <w:tblCellSpacing w:w="0" w:type="dxa"/>
        </w:trPr>
        <w:tc>
          <w:tcPr>
            <w:tcW w:w="1312" w:type="dxa"/>
            <w:noWrap w:val="0"/>
            <w:tcMar>
              <w:top w:w="0" w:type="dxa"/>
              <w:left w:w="105" w:type="dxa"/>
              <w:bottom w:w="0" w:type="dxa"/>
              <w:right w:w="105" w:type="dxa"/>
            </w:tcMar>
            <w:vAlign w:val="center"/>
          </w:tcPr>
          <w:p w14:paraId="1B2DFED6">
            <w:pPr>
              <w:spacing w:line="320" w:lineRule="exact"/>
              <w:ind w:left="1" w:firstLine="0" w:firstLineChars="0"/>
              <w:jc w:val="center"/>
              <w:rPr>
                <w:rFonts w:hint="eastAsia" w:ascii="仿宋_GB2312" w:hAnsi="仿宋_GB2312" w:eastAsia="仿宋_GB2312" w:cs="仿宋_GB2312"/>
                <w:sz w:val="20"/>
                <w:szCs w:val="21"/>
              </w:rPr>
            </w:pPr>
            <w:r>
              <w:rPr>
                <w:rFonts w:hint="eastAsia" w:ascii="仿宋_GB2312" w:hAnsi="仿宋_GB2312" w:eastAsia="仿宋_GB2312" w:cs="仿宋_GB2312"/>
                <w:sz w:val="20"/>
                <w:szCs w:val="21"/>
              </w:rPr>
              <w:t>预算执行率</w:t>
            </w:r>
          </w:p>
        </w:tc>
        <w:tc>
          <w:tcPr>
            <w:tcW w:w="1143" w:type="dxa"/>
            <w:noWrap w:val="0"/>
            <w:tcMar>
              <w:top w:w="0" w:type="dxa"/>
              <w:left w:w="105" w:type="dxa"/>
              <w:bottom w:w="0" w:type="dxa"/>
              <w:right w:w="105" w:type="dxa"/>
            </w:tcMar>
            <w:vAlign w:val="center"/>
          </w:tcPr>
          <w:p w14:paraId="7EE459C9">
            <w:pPr>
              <w:spacing w:line="320" w:lineRule="exact"/>
              <w:ind w:left="1" w:firstLine="0" w:firstLineChars="0"/>
              <w:jc w:val="center"/>
              <w:rPr>
                <w:rFonts w:hint="eastAsia" w:ascii="仿宋_GB2312" w:hAnsi="仿宋_GB2312" w:eastAsia="仿宋_GB2312" w:cs="仿宋_GB2312"/>
                <w:sz w:val="20"/>
                <w:szCs w:val="21"/>
              </w:rPr>
            </w:pPr>
            <w:r>
              <w:rPr>
                <w:rFonts w:hint="eastAsia" w:ascii="仿宋_GB2312" w:hAnsi="仿宋_GB2312" w:eastAsia="仿宋_GB2312" w:cs="仿宋_GB2312"/>
                <w:sz w:val="20"/>
                <w:szCs w:val="21"/>
              </w:rPr>
              <w:t>10</w:t>
            </w:r>
          </w:p>
        </w:tc>
        <w:tc>
          <w:tcPr>
            <w:tcW w:w="5731" w:type="dxa"/>
            <w:gridSpan w:val="4"/>
            <w:noWrap w:val="0"/>
            <w:tcMar>
              <w:top w:w="0" w:type="dxa"/>
              <w:left w:w="105" w:type="dxa"/>
              <w:bottom w:w="0" w:type="dxa"/>
              <w:right w:w="105" w:type="dxa"/>
            </w:tcMar>
            <w:vAlign w:val="center"/>
          </w:tcPr>
          <w:p w14:paraId="5FDEC9A4">
            <w:pPr>
              <w:spacing w:line="320" w:lineRule="exact"/>
              <w:ind w:left="1" w:firstLine="0" w:firstLineChars="0"/>
              <w:jc w:val="left"/>
              <w:rPr>
                <w:rFonts w:hint="eastAsia" w:ascii="仿宋_GB2312" w:hAnsi="仿宋_GB2312" w:eastAsia="仿宋_GB2312" w:cs="仿宋_GB2312"/>
                <w:sz w:val="20"/>
                <w:szCs w:val="21"/>
              </w:rPr>
            </w:pPr>
            <w:r>
              <w:rPr>
                <w:rFonts w:hint="eastAsia" w:ascii="仿宋_GB2312" w:hAnsi="仿宋_GB2312" w:eastAsia="仿宋_GB2312" w:cs="仿宋_GB2312"/>
                <w:sz w:val="20"/>
                <w:szCs w:val="21"/>
              </w:rPr>
              <w:t>该项目预算执行率为</w:t>
            </w:r>
            <w:r>
              <w:rPr>
                <w:rFonts w:hint="eastAsia" w:ascii="仿宋_GB2312" w:hAnsi="仿宋_GB2312" w:eastAsia="仿宋_GB2312" w:cs="仿宋_GB2312"/>
                <w:sz w:val="20"/>
                <w:szCs w:val="21"/>
                <w:lang w:val="en-US" w:eastAsia="zh-CN"/>
              </w:rPr>
              <w:t>39.78</w:t>
            </w:r>
            <w:r>
              <w:rPr>
                <w:rFonts w:hint="eastAsia" w:ascii="仿宋_GB2312" w:hAnsi="仿宋_GB2312" w:eastAsia="仿宋_GB2312" w:cs="仿宋_GB2312"/>
                <w:sz w:val="20"/>
                <w:szCs w:val="21"/>
              </w:rPr>
              <w:t>%。</w:t>
            </w:r>
          </w:p>
        </w:tc>
        <w:tc>
          <w:tcPr>
            <w:tcW w:w="832" w:type="dxa"/>
            <w:noWrap w:val="0"/>
            <w:tcMar>
              <w:top w:w="0" w:type="dxa"/>
              <w:left w:w="105" w:type="dxa"/>
              <w:bottom w:w="0" w:type="dxa"/>
              <w:right w:w="105" w:type="dxa"/>
            </w:tcMar>
            <w:vAlign w:val="center"/>
          </w:tcPr>
          <w:p w14:paraId="7665CEA4">
            <w:pPr>
              <w:spacing w:line="320" w:lineRule="exact"/>
              <w:ind w:left="1" w:firstLine="0" w:firstLineChars="0"/>
              <w:jc w:val="center"/>
              <w:rPr>
                <w:rFonts w:hint="eastAsia" w:ascii="仿宋_GB2312" w:hAnsi="仿宋_GB2312" w:eastAsia="仿宋_GB2312" w:cs="仿宋_GB2312"/>
                <w:sz w:val="20"/>
                <w:szCs w:val="21"/>
                <w:lang w:val="en-US" w:eastAsia="zh-CN"/>
              </w:rPr>
            </w:pPr>
            <w:r>
              <w:rPr>
                <w:rFonts w:hint="eastAsia" w:ascii="仿宋_GB2312" w:hAnsi="仿宋_GB2312" w:eastAsia="仿宋_GB2312" w:cs="仿宋_GB2312"/>
                <w:sz w:val="20"/>
                <w:szCs w:val="21"/>
                <w:lang w:val="en-US" w:eastAsia="zh-CN"/>
              </w:rPr>
              <w:t>4</w:t>
            </w:r>
          </w:p>
        </w:tc>
        <w:tc>
          <w:tcPr>
            <w:tcW w:w="870" w:type="dxa"/>
            <w:noWrap w:val="0"/>
            <w:tcMar>
              <w:top w:w="0" w:type="dxa"/>
              <w:left w:w="105" w:type="dxa"/>
              <w:bottom w:w="0" w:type="dxa"/>
              <w:right w:w="105" w:type="dxa"/>
            </w:tcMar>
            <w:vAlign w:val="center"/>
          </w:tcPr>
          <w:p w14:paraId="01292D90">
            <w:pPr>
              <w:spacing w:line="320" w:lineRule="exact"/>
              <w:ind w:left="1" w:firstLine="0" w:firstLineChars="0"/>
              <w:jc w:val="center"/>
              <w:rPr>
                <w:rFonts w:hint="eastAsia" w:ascii="仿宋_GB2312" w:hAnsi="仿宋_GB2312" w:eastAsia="仿宋_GB2312" w:cs="仿宋_GB2312"/>
                <w:sz w:val="20"/>
                <w:szCs w:val="21"/>
              </w:rPr>
            </w:pPr>
          </w:p>
        </w:tc>
      </w:tr>
      <w:tr w14:paraId="11ADCC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45" w:hRule="atLeast"/>
          <w:tblCellSpacing w:w="0" w:type="dxa"/>
        </w:trPr>
        <w:tc>
          <w:tcPr>
            <w:tcW w:w="1312" w:type="dxa"/>
            <w:noWrap w:val="0"/>
            <w:tcMar>
              <w:top w:w="0" w:type="dxa"/>
              <w:left w:w="105" w:type="dxa"/>
              <w:bottom w:w="0" w:type="dxa"/>
              <w:right w:w="105" w:type="dxa"/>
            </w:tcMar>
            <w:vAlign w:val="center"/>
          </w:tcPr>
          <w:p w14:paraId="1590EA7E">
            <w:pPr>
              <w:spacing w:line="320" w:lineRule="exact"/>
              <w:ind w:left="1" w:firstLine="0" w:firstLineChars="0"/>
              <w:jc w:val="center"/>
              <w:rPr>
                <w:rFonts w:hint="eastAsia" w:ascii="仿宋_GB2312" w:hAnsi="仿宋_GB2312" w:eastAsia="仿宋_GB2312" w:cs="仿宋_GB2312"/>
                <w:sz w:val="20"/>
                <w:szCs w:val="21"/>
              </w:rPr>
            </w:pPr>
            <w:r>
              <w:rPr>
                <w:rFonts w:hint="eastAsia" w:ascii="仿宋_GB2312" w:hAnsi="仿宋_GB2312" w:eastAsia="仿宋_GB2312" w:cs="仿宋_GB2312"/>
                <w:sz w:val="20"/>
                <w:szCs w:val="21"/>
              </w:rPr>
              <w:t>项目组织管理水平</w:t>
            </w:r>
          </w:p>
        </w:tc>
        <w:tc>
          <w:tcPr>
            <w:tcW w:w="1143" w:type="dxa"/>
            <w:noWrap w:val="0"/>
            <w:tcMar>
              <w:top w:w="0" w:type="dxa"/>
              <w:left w:w="105" w:type="dxa"/>
              <w:bottom w:w="0" w:type="dxa"/>
              <w:right w:w="105" w:type="dxa"/>
            </w:tcMar>
            <w:vAlign w:val="center"/>
          </w:tcPr>
          <w:p w14:paraId="7B9626F1">
            <w:pPr>
              <w:spacing w:line="320" w:lineRule="exact"/>
              <w:ind w:left="1" w:firstLine="0" w:firstLineChars="0"/>
              <w:jc w:val="center"/>
              <w:rPr>
                <w:rFonts w:hint="eastAsia" w:ascii="仿宋_GB2312" w:hAnsi="仿宋_GB2312" w:eastAsia="仿宋_GB2312" w:cs="仿宋_GB2312"/>
                <w:sz w:val="20"/>
                <w:szCs w:val="21"/>
              </w:rPr>
            </w:pPr>
            <w:r>
              <w:rPr>
                <w:rFonts w:hint="eastAsia" w:ascii="仿宋_GB2312" w:hAnsi="仿宋_GB2312" w:eastAsia="仿宋_GB2312" w:cs="仿宋_GB2312"/>
                <w:sz w:val="20"/>
                <w:szCs w:val="21"/>
              </w:rPr>
              <w:t>10</w:t>
            </w:r>
          </w:p>
        </w:tc>
        <w:tc>
          <w:tcPr>
            <w:tcW w:w="5731" w:type="dxa"/>
            <w:gridSpan w:val="4"/>
            <w:noWrap w:val="0"/>
            <w:tcMar>
              <w:top w:w="0" w:type="dxa"/>
              <w:left w:w="105" w:type="dxa"/>
              <w:bottom w:w="0" w:type="dxa"/>
              <w:right w:w="105" w:type="dxa"/>
            </w:tcMar>
            <w:vAlign w:val="center"/>
          </w:tcPr>
          <w:p w14:paraId="4CE95371">
            <w:pPr>
              <w:spacing w:line="320" w:lineRule="exact"/>
              <w:ind w:left="1" w:firstLine="0" w:firstLineChars="0"/>
              <w:jc w:val="left"/>
              <w:rPr>
                <w:rFonts w:hint="eastAsia" w:ascii="仿宋_GB2312" w:hAnsi="仿宋_GB2312" w:eastAsia="仿宋_GB2312" w:cs="仿宋_GB2312"/>
                <w:sz w:val="20"/>
                <w:szCs w:val="21"/>
              </w:rPr>
            </w:pPr>
            <w:r>
              <w:rPr>
                <w:rFonts w:hint="eastAsia" w:ascii="仿宋_GB2312" w:hAnsi="仿宋_GB2312" w:eastAsia="仿宋_GB2312" w:cs="仿宋_GB2312"/>
                <w:sz w:val="20"/>
                <w:szCs w:val="21"/>
              </w:rPr>
              <w:t>本项目由新晃县文化旅游广电体育局担任法人具体负责组织实施，委派专人对项目进行管理。严格执行项目法人制和合同管理制度，对建设项目从筹划、立项、筹资、设计、建设实施直至运行管理等全过程，实行了全面负责，以达到实现自我发展、自觉协调、讲究实效的工程建设管理体制。</w:t>
            </w:r>
          </w:p>
        </w:tc>
        <w:tc>
          <w:tcPr>
            <w:tcW w:w="832" w:type="dxa"/>
            <w:noWrap w:val="0"/>
            <w:tcMar>
              <w:top w:w="0" w:type="dxa"/>
              <w:left w:w="105" w:type="dxa"/>
              <w:bottom w:w="0" w:type="dxa"/>
              <w:right w:w="105" w:type="dxa"/>
            </w:tcMar>
            <w:vAlign w:val="center"/>
          </w:tcPr>
          <w:p w14:paraId="702B7529">
            <w:pPr>
              <w:spacing w:line="320" w:lineRule="exact"/>
              <w:ind w:left="1" w:firstLine="0" w:firstLineChars="0"/>
              <w:jc w:val="center"/>
              <w:rPr>
                <w:rFonts w:hint="default" w:ascii="仿宋_GB2312" w:hAnsi="仿宋_GB2312" w:eastAsia="仿宋_GB2312" w:cs="仿宋_GB2312"/>
                <w:sz w:val="20"/>
                <w:szCs w:val="21"/>
                <w:lang w:val="en-US" w:eastAsia="zh-CN"/>
              </w:rPr>
            </w:pPr>
            <w:r>
              <w:rPr>
                <w:rFonts w:hint="eastAsia" w:ascii="仿宋_GB2312" w:hAnsi="仿宋_GB2312" w:eastAsia="仿宋_GB2312" w:cs="仿宋_GB2312"/>
                <w:sz w:val="20"/>
                <w:szCs w:val="21"/>
                <w:lang w:val="en-US" w:eastAsia="zh-CN"/>
              </w:rPr>
              <w:t>10</w:t>
            </w:r>
          </w:p>
        </w:tc>
        <w:tc>
          <w:tcPr>
            <w:tcW w:w="870" w:type="dxa"/>
            <w:noWrap w:val="0"/>
            <w:tcMar>
              <w:top w:w="0" w:type="dxa"/>
              <w:left w:w="105" w:type="dxa"/>
              <w:bottom w:w="0" w:type="dxa"/>
              <w:right w:w="105" w:type="dxa"/>
            </w:tcMar>
            <w:vAlign w:val="center"/>
          </w:tcPr>
          <w:p w14:paraId="69DA4C7F">
            <w:pPr>
              <w:spacing w:line="320" w:lineRule="exact"/>
              <w:ind w:left="1" w:firstLine="0" w:firstLineChars="0"/>
              <w:jc w:val="center"/>
              <w:rPr>
                <w:rFonts w:hint="eastAsia" w:ascii="仿宋_GB2312" w:hAnsi="仿宋_GB2312" w:eastAsia="仿宋_GB2312" w:cs="仿宋_GB2312"/>
                <w:sz w:val="20"/>
                <w:szCs w:val="21"/>
              </w:rPr>
            </w:pPr>
          </w:p>
        </w:tc>
      </w:tr>
      <w:tr w14:paraId="5246C2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58" w:hRule="atLeast"/>
          <w:tblCellSpacing w:w="0" w:type="dxa"/>
        </w:trPr>
        <w:tc>
          <w:tcPr>
            <w:tcW w:w="1312" w:type="dxa"/>
            <w:noWrap w:val="0"/>
            <w:tcMar>
              <w:top w:w="0" w:type="dxa"/>
              <w:left w:w="105" w:type="dxa"/>
              <w:bottom w:w="0" w:type="dxa"/>
              <w:right w:w="105" w:type="dxa"/>
            </w:tcMar>
            <w:vAlign w:val="center"/>
          </w:tcPr>
          <w:p w14:paraId="353E1401">
            <w:pPr>
              <w:spacing w:line="320" w:lineRule="exact"/>
              <w:ind w:left="1" w:firstLine="0" w:firstLineChars="0"/>
              <w:jc w:val="center"/>
              <w:rPr>
                <w:rFonts w:hint="eastAsia" w:ascii="仿宋_GB2312" w:hAnsi="仿宋_GB2312" w:eastAsia="仿宋_GB2312" w:cs="仿宋_GB2312"/>
                <w:sz w:val="20"/>
                <w:szCs w:val="21"/>
              </w:rPr>
            </w:pPr>
            <w:r>
              <w:rPr>
                <w:rFonts w:hint="eastAsia" w:ascii="仿宋_GB2312" w:hAnsi="仿宋_GB2312" w:eastAsia="仿宋_GB2312" w:cs="仿宋_GB2312"/>
                <w:sz w:val="20"/>
                <w:szCs w:val="21"/>
              </w:rPr>
              <w:t>资金支出</w:t>
            </w:r>
          </w:p>
          <w:p w14:paraId="21AA0E00">
            <w:pPr>
              <w:spacing w:line="320" w:lineRule="exact"/>
              <w:ind w:left="1" w:firstLine="0" w:firstLineChars="0"/>
              <w:jc w:val="center"/>
              <w:rPr>
                <w:rFonts w:hint="eastAsia" w:ascii="仿宋_GB2312" w:hAnsi="仿宋_GB2312" w:eastAsia="仿宋_GB2312" w:cs="仿宋_GB2312"/>
                <w:sz w:val="20"/>
                <w:szCs w:val="21"/>
              </w:rPr>
            </w:pPr>
            <w:r>
              <w:rPr>
                <w:rFonts w:hint="eastAsia" w:ascii="仿宋_GB2312" w:hAnsi="仿宋_GB2312" w:eastAsia="仿宋_GB2312" w:cs="仿宋_GB2312"/>
                <w:sz w:val="20"/>
                <w:szCs w:val="21"/>
              </w:rPr>
              <w:t>合理合规</w:t>
            </w:r>
          </w:p>
        </w:tc>
        <w:tc>
          <w:tcPr>
            <w:tcW w:w="1143" w:type="dxa"/>
            <w:noWrap w:val="0"/>
            <w:tcMar>
              <w:top w:w="0" w:type="dxa"/>
              <w:left w:w="105" w:type="dxa"/>
              <w:bottom w:w="0" w:type="dxa"/>
              <w:right w:w="105" w:type="dxa"/>
            </w:tcMar>
            <w:vAlign w:val="center"/>
          </w:tcPr>
          <w:p w14:paraId="59571A39">
            <w:pPr>
              <w:spacing w:line="320" w:lineRule="exact"/>
              <w:ind w:left="1" w:firstLine="0" w:firstLineChars="0"/>
              <w:jc w:val="center"/>
              <w:rPr>
                <w:rFonts w:hint="eastAsia" w:ascii="仿宋_GB2312" w:hAnsi="仿宋_GB2312" w:eastAsia="仿宋_GB2312" w:cs="仿宋_GB2312"/>
                <w:sz w:val="20"/>
                <w:szCs w:val="21"/>
              </w:rPr>
            </w:pPr>
            <w:r>
              <w:rPr>
                <w:rFonts w:hint="eastAsia" w:ascii="仿宋_GB2312" w:hAnsi="仿宋_GB2312" w:eastAsia="仿宋_GB2312" w:cs="仿宋_GB2312"/>
                <w:sz w:val="20"/>
                <w:szCs w:val="21"/>
              </w:rPr>
              <w:t>10</w:t>
            </w:r>
          </w:p>
        </w:tc>
        <w:tc>
          <w:tcPr>
            <w:tcW w:w="5731" w:type="dxa"/>
            <w:gridSpan w:val="4"/>
            <w:noWrap w:val="0"/>
            <w:tcMar>
              <w:top w:w="0" w:type="dxa"/>
              <w:left w:w="105" w:type="dxa"/>
              <w:bottom w:w="0" w:type="dxa"/>
              <w:right w:w="105" w:type="dxa"/>
            </w:tcMar>
            <w:vAlign w:val="center"/>
          </w:tcPr>
          <w:p w14:paraId="71052907">
            <w:pPr>
              <w:spacing w:line="320" w:lineRule="exact"/>
              <w:ind w:left="1" w:firstLine="0" w:firstLineChars="0"/>
              <w:jc w:val="left"/>
              <w:rPr>
                <w:rFonts w:hint="eastAsia" w:ascii="仿宋_GB2312" w:hAnsi="仿宋_GB2312" w:eastAsia="仿宋_GB2312" w:cs="仿宋_GB2312"/>
                <w:sz w:val="20"/>
                <w:szCs w:val="21"/>
              </w:rPr>
            </w:pPr>
            <w:r>
              <w:rPr>
                <w:rFonts w:hint="eastAsia" w:ascii="仿宋_GB2312" w:hAnsi="仿宋_GB2312" w:eastAsia="仿宋_GB2312" w:cs="仿宋_GB2312"/>
                <w:sz w:val="20"/>
                <w:szCs w:val="21"/>
                <w:lang w:val="en-US" w:eastAsia="zh-CN"/>
              </w:rPr>
              <w:t>我局严格按照县财政相关政策制度管理、使用各项资金，并根据《会计法》、《预算法》等法规制订了单位财务管理、办公物资采购管理、固定资产管理等多项财务规章制度，专项资金的开支，均需要各部门严格控制，层层审批，确保专款专用。</w:t>
            </w:r>
          </w:p>
        </w:tc>
        <w:tc>
          <w:tcPr>
            <w:tcW w:w="832" w:type="dxa"/>
            <w:noWrap w:val="0"/>
            <w:tcMar>
              <w:top w:w="0" w:type="dxa"/>
              <w:left w:w="105" w:type="dxa"/>
              <w:bottom w:w="0" w:type="dxa"/>
              <w:right w:w="105" w:type="dxa"/>
            </w:tcMar>
            <w:vAlign w:val="center"/>
          </w:tcPr>
          <w:p w14:paraId="69E0557A">
            <w:pPr>
              <w:spacing w:line="320" w:lineRule="exact"/>
              <w:ind w:left="1" w:firstLine="0" w:firstLineChars="0"/>
              <w:jc w:val="center"/>
              <w:rPr>
                <w:rFonts w:hint="default" w:ascii="仿宋_GB2312" w:hAnsi="仿宋_GB2312" w:eastAsia="仿宋_GB2312" w:cs="仿宋_GB2312"/>
                <w:sz w:val="20"/>
                <w:szCs w:val="21"/>
                <w:lang w:val="en-US" w:eastAsia="zh-CN"/>
              </w:rPr>
            </w:pPr>
            <w:r>
              <w:rPr>
                <w:rFonts w:hint="eastAsia" w:ascii="仿宋_GB2312" w:hAnsi="仿宋_GB2312" w:eastAsia="仿宋_GB2312" w:cs="仿宋_GB2312"/>
                <w:sz w:val="20"/>
                <w:szCs w:val="21"/>
                <w:lang w:val="en-US" w:eastAsia="zh-CN"/>
              </w:rPr>
              <w:t>10</w:t>
            </w:r>
          </w:p>
        </w:tc>
        <w:tc>
          <w:tcPr>
            <w:tcW w:w="870" w:type="dxa"/>
            <w:noWrap w:val="0"/>
            <w:tcMar>
              <w:top w:w="0" w:type="dxa"/>
              <w:left w:w="105" w:type="dxa"/>
              <w:bottom w:w="0" w:type="dxa"/>
              <w:right w:w="105" w:type="dxa"/>
            </w:tcMar>
            <w:vAlign w:val="center"/>
          </w:tcPr>
          <w:p w14:paraId="06E43354">
            <w:pPr>
              <w:spacing w:line="320" w:lineRule="exact"/>
              <w:ind w:left="1" w:firstLine="0" w:firstLineChars="0"/>
              <w:jc w:val="center"/>
              <w:rPr>
                <w:rFonts w:hint="eastAsia" w:ascii="仿宋_GB2312" w:hAnsi="仿宋_GB2312" w:eastAsia="仿宋_GB2312" w:cs="仿宋_GB2312"/>
                <w:sz w:val="20"/>
                <w:szCs w:val="21"/>
              </w:rPr>
            </w:pPr>
          </w:p>
        </w:tc>
      </w:tr>
      <w:tr w14:paraId="1D1508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7" w:hRule="atLeast"/>
          <w:tblCellSpacing w:w="0" w:type="dxa"/>
        </w:trPr>
        <w:tc>
          <w:tcPr>
            <w:tcW w:w="1312" w:type="dxa"/>
            <w:noWrap w:val="0"/>
            <w:tcMar>
              <w:top w:w="0" w:type="dxa"/>
              <w:left w:w="105" w:type="dxa"/>
              <w:bottom w:w="0" w:type="dxa"/>
              <w:right w:w="105" w:type="dxa"/>
            </w:tcMar>
            <w:vAlign w:val="center"/>
          </w:tcPr>
          <w:p w14:paraId="3BC64D74">
            <w:pPr>
              <w:spacing w:line="320" w:lineRule="exact"/>
              <w:ind w:left="1" w:firstLine="0" w:firstLineChars="0"/>
              <w:jc w:val="center"/>
              <w:rPr>
                <w:rFonts w:hint="eastAsia" w:ascii="仿宋_GB2312" w:hAnsi="仿宋_GB2312" w:eastAsia="仿宋_GB2312" w:cs="仿宋_GB2312"/>
                <w:sz w:val="20"/>
                <w:szCs w:val="21"/>
              </w:rPr>
            </w:pPr>
            <w:r>
              <w:rPr>
                <w:rFonts w:hint="eastAsia" w:ascii="仿宋_GB2312" w:hAnsi="仿宋_GB2312" w:eastAsia="仿宋_GB2312" w:cs="仿宋_GB2312"/>
                <w:sz w:val="20"/>
                <w:szCs w:val="21"/>
              </w:rPr>
              <w:t>项目产出</w:t>
            </w:r>
          </w:p>
        </w:tc>
        <w:tc>
          <w:tcPr>
            <w:tcW w:w="1143" w:type="dxa"/>
            <w:noWrap w:val="0"/>
            <w:tcMar>
              <w:top w:w="0" w:type="dxa"/>
              <w:left w:w="105" w:type="dxa"/>
              <w:bottom w:w="0" w:type="dxa"/>
              <w:right w:w="105" w:type="dxa"/>
            </w:tcMar>
            <w:vAlign w:val="center"/>
          </w:tcPr>
          <w:p w14:paraId="237144B8">
            <w:pPr>
              <w:spacing w:line="320" w:lineRule="exact"/>
              <w:ind w:left="1" w:firstLine="0" w:firstLineChars="0"/>
              <w:jc w:val="center"/>
              <w:rPr>
                <w:rFonts w:hint="eastAsia" w:ascii="仿宋_GB2312" w:hAnsi="仿宋_GB2312" w:eastAsia="仿宋_GB2312" w:cs="仿宋_GB2312"/>
                <w:sz w:val="20"/>
                <w:szCs w:val="21"/>
                <w:lang w:val="en-US" w:eastAsia="zh-CN"/>
              </w:rPr>
            </w:pPr>
            <w:r>
              <w:rPr>
                <w:rFonts w:hint="eastAsia" w:ascii="仿宋_GB2312" w:hAnsi="仿宋_GB2312" w:eastAsia="仿宋_GB2312" w:cs="仿宋_GB2312"/>
                <w:sz w:val="20"/>
                <w:szCs w:val="21"/>
                <w:lang w:val="en-US" w:eastAsia="zh-CN"/>
              </w:rPr>
              <w:t>30</w:t>
            </w:r>
          </w:p>
        </w:tc>
        <w:tc>
          <w:tcPr>
            <w:tcW w:w="5731" w:type="dxa"/>
            <w:gridSpan w:val="4"/>
            <w:noWrap w:val="0"/>
            <w:tcMar>
              <w:top w:w="0" w:type="dxa"/>
              <w:left w:w="105" w:type="dxa"/>
              <w:bottom w:w="0" w:type="dxa"/>
              <w:right w:w="105" w:type="dxa"/>
            </w:tcMar>
            <w:vAlign w:val="center"/>
          </w:tcPr>
          <w:p w14:paraId="49BBF353">
            <w:pPr>
              <w:spacing w:line="320" w:lineRule="exact"/>
              <w:ind w:left="1" w:firstLine="0" w:firstLineChars="0"/>
              <w:jc w:val="left"/>
              <w:rPr>
                <w:rFonts w:hint="default" w:ascii="仿宋_GB2312" w:hAnsi="仿宋_GB2312" w:eastAsia="仿宋_GB2312" w:cs="仿宋_GB2312"/>
                <w:sz w:val="20"/>
                <w:szCs w:val="21"/>
                <w:lang w:val="en-US" w:eastAsia="zh-CN"/>
              </w:rPr>
            </w:pPr>
            <w:r>
              <w:rPr>
                <w:rFonts w:hint="eastAsia" w:ascii="仿宋_GB2312" w:hAnsi="仿宋_GB2312" w:eastAsia="仿宋_GB2312" w:cs="仿宋_GB2312"/>
                <w:sz w:val="20"/>
                <w:szCs w:val="21"/>
                <w:lang w:val="en-US" w:eastAsia="zh-CN"/>
              </w:rPr>
              <w:t>数量指标：送戏下乡完成11个乡镇174场。</w:t>
            </w:r>
          </w:p>
          <w:p w14:paraId="3C0EB668">
            <w:pPr>
              <w:spacing w:line="320" w:lineRule="exact"/>
              <w:ind w:left="1" w:firstLine="0" w:firstLineChars="0"/>
              <w:jc w:val="left"/>
              <w:rPr>
                <w:rFonts w:hint="eastAsia" w:ascii="仿宋_GB2312" w:hAnsi="仿宋_GB2312" w:eastAsia="仿宋_GB2312" w:cs="仿宋_GB2312"/>
                <w:sz w:val="20"/>
                <w:szCs w:val="21"/>
                <w:lang w:val="en-US" w:eastAsia="zh-CN"/>
              </w:rPr>
            </w:pPr>
            <w:r>
              <w:rPr>
                <w:rFonts w:hint="eastAsia" w:ascii="仿宋_GB2312" w:hAnsi="仿宋_GB2312" w:eastAsia="仿宋_GB2312" w:cs="仿宋_GB2312"/>
                <w:sz w:val="20"/>
                <w:szCs w:val="21"/>
                <w:lang w:val="en-US" w:eastAsia="zh-CN"/>
              </w:rPr>
              <w:t>质量指标：完成送戏下乡任务；</w:t>
            </w:r>
          </w:p>
          <w:p w14:paraId="71422789">
            <w:pPr>
              <w:spacing w:line="320" w:lineRule="exact"/>
              <w:ind w:left="1" w:firstLine="0" w:firstLineChars="0"/>
              <w:jc w:val="left"/>
              <w:rPr>
                <w:rFonts w:hint="eastAsia" w:ascii="仿宋_GB2312" w:hAnsi="仿宋_GB2312" w:eastAsia="仿宋_GB2312" w:cs="仿宋_GB2312"/>
                <w:sz w:val="20"/>
                <w:szCs w:val="21"/>
                <w:lang w:val="en-US" w:eastAsia="zh-CN"/>
              </w:rPr>
            </w:pPr>
            <w:r>
              <w:rPr>
                <w:rFonts w:hint="eastAsia" w:ascii="仿宋_GB2312" w:hAnsi="仿宋_GB2312" w:eastAsia="仿宋_GB2312" w:cs="仿宋_GB2312"/>
                <w:sz w:val="20"/>
                <w:szCs w:val="21"/>
                <w:lang w:val="en-US" w:eastAsia="zh-CN"/>
              </w:rPr>
              <w:t>时效指标：2023年12月31日之前完成；</w:t>
            </w:r>
          </w:p>
          <w:p w14:paraId="305AA628">
            <w:pPr>
              <w:spacing w:line="320" w:lineRule="exact"/>
              <w:ind w:left="1" w:firstLine="0" w:firstLineChars="0"/>
              <w:jc w:val="left"/>
              <w:rPr>
                <w:rFonts w:hint="eastAsia" w:ascii="仿宋_GB2312" w:hAnsi="仿宋_GB2312" w:eastAsia="仿宋_GB2312" w:cs="仿宋_GB2312"/>
                <w:sz w:val="20"/>
                <w:szCs w:val="21"/>
                <w:lang w:val="en-US" w:eastAsia="zh-CN"/>
              </w:rPr>
            </w:pPr>
            <w:r>
              <w:rPr>
                <w:rFonts w:hint="eastAsia" w:ascii="仿宋_GB2312" w:hAnsi="仿宋_GB2312" w:eastAsia="仿宋_GB2312" w:cs="仿宋_GB2312"/>
                <w:sz w:val="20"/>
                <w:szCs w:val="21"/>
                <w:lang w:val="en-US" w:eastAsia="zh-CN"/>
              </w:rPr>
              <w:t>成本指标：其中138场，每场5000元，小计69万；36场，每场4000元，小计14.4万，合计83.4万，其它文化演出以及策划30万。</w:t>
            </w:r>
          </w:p>
        </w:tc>
        <w:tc>
          <w:tcPr>
            <w:tcW w:w="832" w:type="dxa"/>
            <w:noWrap w:val="0"/>
            <w:tcMar>
              <w:top w:w="0" w:type="dxa"/>
              <w:left w:w="105" w:type="dxa"/>
              <w:bottom w:w="0" w:type="dxa"/>
              <w:right w:w="105" w:type="dxa"/>
            </w:tcMar>
            <w:vAlign w:val="center"/>
          </w:tcPr>
          <w:p w14:paraId="79A538BB">
            <w:pPr>
              <w:spacing w:line="320" w:lineRule="exact"/>
              <w:ind w:left="1" w:firstLine="0" w:firstLineChars="0"/>
              <w:jc w:val="center"/>
              <w:rPr>
                <w:rFonts w:hint="default" w:ascii="仿宋_GB2312" w:hAnsi="仿宋_GB2312" w:eastAsia="仿宋_GB2312" w:cs="仿宋_GB2312"/>
                <w:sz w:val="20"/>
                <w:szCs w:val="21"/>
                <w:lang w:val="en-US" w:eastAsia="zh-CN"/>
              </w:rPr>
            </w:pPr>
            <w:r>
              <w:rPr>
                <w:rFonts w:hint="eastAsia" w:ascii="仿宋_GB2312" w:hAnsi="仿宋_GB2312" w:eastAsia="仿宋_GB2312" w:cs="仿宋_GB2312"/>
                <w:sz w:val="20"/>
                <w:szCs w:val="21"/>
                <w:lang w:val="en-US" w:eastAsia="zh-CN"/>
              </w:rPr>
              <w:t>30</w:t>
            </w:r>
          </w:p>
        </w:tc>
        <w:tc>
          <w:tcPr>
            <w:tcW w:w="870" w:type="dxa"/>
            <w:noWrap w:val="0"/>
            <w:tcMar>
              <w:top w:w="0" w:type="dxa"/>
              <w:left w:w="105" w:type="dxa"/>
              <w:bottom w:w="0" w:type="dxa"/>
              <w:right w:w="105" w:type="dxa"/>
            </w:tcMar>
            <w:vAlign w:val="center"/>
          </w:tcPr>
          <w:p w14:paraId="27E046B1">
            <w:pPr>
              <w:spacing w:line="320" w:lineRule="exact"/>
              <w:ind w:left="1" w:firstLine="0" w:firstLineChars="0"/>
              <w:jc w:val="center"/>
              <w:rPr>
                <w:rFonts w:hint="eastAsia" w:ascii="仿宋_GB2312" w:hAnsi="仿宋_GB2312" w:eastAsia="仿宋_GB2312" w:cs="仿宋_GB2312"/>
                <w:sz w:val="20"/>
                <w:szCs w:val="21"/>
              </w:rPr>
            </w:pPr>
          </w:p>
        </w:tc>
      </w:tr>
      <w:tr w14:paraId="6785A8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58" w:hRule="atLeast"/>
          <w:tblCellSpacing w:w="0" w:type="dxa"/>
        </w:trPr>
        <w:tc>
          <w:tcPr>
            <w:tcW w:w="1312" w:type="dxa"/>
            <w:noWrap w:val="0"/>
            <w:tcMar>
              <w:top w:w="0" w:type="dxa"/>
              <w:left w:w="105" w:type="dxa"/>
              <w:bottom w:w="0" w:type="dxa"/>
              <w:right w:w="105" w:type="dxa"/>
            </w:tcMar>
            <w:vAlign w:val="center"/>
          </w:tcPr>
          <w:p w14:paraId="7732759E">
            <w:pPr>
              <w:spacing w:line="320" w:lineRule="exact"/>
              <w:ind w:left="1" w:firstLine="0" w:firstLineChars="0"/>
              <w:jc w:val="center"/>
              <w:rPr>
                <w:rFonts w:hint="eastAsia" w:ascii="仿宋_GB2312" w:hAnsi="仿宋_GB2312" w:eastAsia="仿宋_GB2312" w:cs="仿宋_GB2312"/>
                <w:sz w:val="20"/>
                <w:szCs w:val="21"/>
              </w:rPr>
            </w:pPr>
            <w:r>
              <w:rPr>
                <w:rFonts w:hint="eastAsia" w:ascii="仿宋_GB2312" w:hAnsi="仿宋_GB2312" w:eastAsia="仿宋_GB2312" w:cs="仿宋_GB2312"/>
                <w:sz w:val="20"/>
                <w:szCs w:val="21"/>
              </w:rPr>
              <w:t>项目效益（效果）</w:t>
            </w:r>
          </w:p>
        </w:tc>
        <w:tc>
          <w:tcPr>
            <w:tcW w:w="1143" w:type="dxa"/>
            <w:noWrap w:val="0"/>
            <w:tcMar>
              <w:top w:w="0" w:type="dxa"/>
              <w:left w:w="105" w:type="dxa"/>
              <w:bottom w:w="0" w:type="dxa"/>
              <w:right w:w="105" w:type="dxa"/>
            </w:tcMar>
            <w:vAlign w:val="center"/>
          </w:tcPr>
          <w:p w14:paraId="4FDC99EF">
            <w:pPr>
              <w:spacing w:line="320" w:lineRule="exact"/>
              <w:ind w:left="1" w:firstLine="0" w:firstLineChars="0"/>
              <w:jc w:val="center"/>
              <w:rPr>
                <w:rFonts w:hint="eastAsia" w:ascii="仿宋_GB2312" w:hAnsi="仿宋_GB2312" w:eastAsia="仿宋_GB2312" w:cs="仿宋_GB2312"/>
                <w:sz w:val="20"/>
                <w:szCs w:val="21"/>
              </w:rPr>
            </w:pPr>
            <w:r>
              <w:rPr>
                <w:rFonts w:hint="eastAsia" w:ascii="仿宋_GB2312" w:hAnsi="仿宋_GB2312" w:eastAsia="仿宋_GB2312" w:cs="仿宋_GB2312"/>
                <w:sz w:val="20"/>
                <w:szCs w:val="21"/>
              </w:rPr>
              <w:t>20</w:t>
            </w:r>
          </w:p>
        </w:tc>
        <w:tc>
          <w:tcPr>
            <w:tcW w:w="5731" w:type="dxa"/>
            <w:gridSpan w:val="4"/>
            <w:noWrap w:val="0"/>
            <w:tcMar>
              <w:top w:w="0" w:type="dxa"/>
              <w:left w:w="105" w:type="dxa"/>
              <w:bottom w:w="0" w:type="dxa"/>
              <w:right w:w="105" w:type="dxa"/>
            </w:tcMar>
            <w:vAlign w:val="center"/>
          </w:tcPr>
          <w:p w14:paraId="03087EE9">
            <w:pPr>
              <w:spacing w:line="320" w:lineRule="exact"/>
              <w:ind w:left="1" w:firstLine="0" w:firstLineChars="0"/>
              <w:jc w:val="left"/>
              <w:rPr>
                <w:rFonts w:hint="eastAsia" w:ascii="仿宋_GB2312" w:hAnsi="仿宋_GB2312" w:eastAsia="仿宋_GB2312" w:cs="仿宋_GB2312"/>
                <w:sz w:val="20"/>
                <w:szCs w:val="21"/>
                <w:lang w:val="en-US" w:eastAsia="zh-CN"/>
              </w:rPr>
            </w:pPr>
            <w:r>
              <w:rPr>
                <w:rFonts w:hint="eastAsia" w:ascii="仿宋_GB2312" w:hAnsi="仿宋_GB2312" w:eastAsia="仿宋_GB2312" w:cs="仿宋_GB2312"/>
                <w:sz w:val="20"/>
                <w:szCs w:val="21"/>
              </w:rPr>
              <w:t>经济效益</w:t>
            </w:r>
            <w:r>
              <w:rPr>
                <w:rFonts w:hint="eastAsia" w:ascii="仿宋_GB2312" w:hAnsi="仿宋_GB2312" w:eastAsia="仿宋_GB2312" w:cs="仿宋_GB2312"/>
                <w:sz w:val="20"/>
                <w:szCs w:val="21"/>
                <w:lang w:val="en-US" w:eastAsia="zh-CN"/>
              </w:rPr>
              <w:t>：发挥文化扶贫扶志扶智作用，把红色民族歌舞剧《深夜静悄悄》（即：《侗寨军民情》）及反映二十大精神、乡村振兴等主题，群众喜闻乐见的综合性节目带到最艰苦的地方演出，多送戏、送好戏，传播先进思想和观念，提升脱贫攻坚和乡村振兴的信心和斗志，调动脱贫群众为乡村振兴继续奋斗的积极性，变“外援性”扶贫为“内生性”扶贫，激发群众乡村振兴的内生动力，为国家乡村振兴战略的成功实施提供精神动力。</w:t>
            </w:r>
          </w:p>
          <w:p w14:paraId="0FDB5EF3">
            <w:pPr>
              <w:spacing w:line="320" w:lineRule="exact"/>
              <w:ind w:left="1" w:firstLine="0" w:firstLineChars="0"/>
              <w:jc w:val="left"/>
              <w:rPr>
                <w:rFonts w:hint="eastAsia" w:ascii="仿宋_GB2312" w:hAnsi="仿宋_GB2312" w:eastAsia="仿宋_GB2312" w:cs="仿宋_GB2312"/>
                <w:sz w:val="20"/>
                <w:szCs w:val="21"/>
                <w:lang w:val="en-US" w:eastAsia="zh-CN"/>
              </w:rPr>
            </w:pPr>
            <w:r>
              <w:rPr>
                <w:rFonts w:hint="eastAsia" w:ascii="仿宋_GB2312" w:hAnsi="仿宋_GB2312" w:eastAsia="仿宋_GB2312" w:cs="仿宋_GB2312"/>
                <w:sz w:val="20"/>
                <w:szCs w:val="21"/>
                <w:lang w:val="en-US" w:eastAsia="zh-CN"/>
              </w:rPr>
              <w:t>社</w:t>
            </w:r>
            <w:r>
              <w:rPr>
                <w:rFonts w:hint="eastAsia" w:ascii="仿宋_GB2312" w:hAnsi="仿宋_GB2312" w:eastAsia="仿宋_GB2312" w:cs="仿宋_GB2312"/>
                <w:sz w:val="20"/>
                <w:szCs w:val="21"/>
              </w:rPr>
              <w:t>会</w:t>
            </w:r>
            <w:r>
              <w:rPr>
                <w:rFonts w:hint="eastAsia" w:ascii="仿宋_GB2312" w:hAnsi="仿宋_GB2312" w:eastAsia="仿宋_GB2312" w:cs="仿宋_GB2312"/>
                <w:sz w:val="20"/>
                <w:szCs w:val="21"/>
                <w:lang w:val="en-US" w:eastAsia="zh-CN"/>
              </w:rPr>
              <w:t>效益：有利于推动城乡公共文化服务均等化，润养乡村文化生态。公共文化服务是人民政府的一项重要职能，实行送戏下乡，有效推动基本公共文化服务均等化，有利于保障农村居民基本文化权益，有利于促进社会公平，我县送戏下乡覆盖全县各乡镇，原23个乡镇，137个行政村、社区、学校等，极大地丰富了乡村的文化供给，对乡村文化的振兴起着重要作用，满足了基层群众精神文化需求。</w:t>
            </w:r>
          </w:p>
          <w:p w14:paraId="2D8299CC">
            <w:pPr>
              <w:spacing w:line="320" w:lineRule="exact"/>
              <w:ind w:left="1" w:firstLine="0" w:firstLineChars="0"/>
              <w:jc w:val="left"/>
              <w:rPr>
                <w:rFonts w:hint="default" w:ascii="仿宋_GB2312" w:hAnsi="仿宋_GB2312" w:eastAsia="仿宋_GB2312" w:cs="仿宋_GB2312"/>
                <w:sz w:val="20"/>
                <w:szCs w:val="21"/>
                <w:lang w:val="en-US" w:eastAsia="zh-CN"/>
              </w:rPr>
            </w:pPr>
            <w:r>
              <w:rPr>
                <w:rFonts w:hint="eastAsia" w:ascii="仿宋_GB2312" w:hAnsi="仿宋_GB2312" w:eastAsia="仿宋_GB2312" w:cs="仿宋_GB2312"/>
                <w:sz w:val="20"/>
                <w:szCs w:val="21"/>
                <w:lang w:val="en-US" w:eastAsia="zh-CN"/>
              </w:rPr>
              <w:t>环境效益：不影响生态环境的前提下完成演出活动。</w:t>
            </w:r>
          </w:p>
          <w:p w14:paraId="6D38ABEF">
            <w:pPr>
              <w:spacing w:line="320" w:lineRule="exact"/>
              <w:ind w:left="1" w:firstLine="0" w:firstLineChars="0"/>
              <w:jc w:val="left"/>
              <w:rPr>
                <w:rFonts w:hint="eastAsia" w:ascii="仿宋_GB2312" w:hAnsi="仿宋_GB2312" w:eastAsia="仿宋_GB2312" w:cs="仿宋_GB2312"/>
                <w:sz w:val="20"/>
                <w:szCs w:val="21"/>
                <w:lang w:val="en-US" w:eastAsia="zh-CN"/>
              </w:rPr>
            </w:pPr>
            <w:r>
              <w:rPr>
                <w:rFonts w:hint="eastAsia" w:ascii="仿宋_GB2312" w:hAnsi="仿宋_GB2312" w:eastAsia="仿宋_GB2312" w:cs="仿宋_GB2312"/>
                <w:sz w:val="20"/>
                <w:szCs w:val="21"/>
                <w:lang w:val="en-US" w:eastAsia="zh-CN"/>
              </w:rPr>
              <w:t>可持续影响：送戏下乡持续开展，有利于培育和弘扬社会主义核心价值观，丰富乡村文化的时代内涵。随着农村物质生活条件大幅改善，农村群众的精神文化需求也在不断增长。严把剧目关是弘扬社会主义核心价值观的根本保障。大型红色民族歌剧《深夜静悄悄》、《祖国颂》、独唱《唱支山歌给党听》、傩戏《过五关古城会》选段、音乐快板《二十大精神放光芒》、小品《新农村》、歌舞《家乡美》等剧目在乡村演出，不仅弘扬了社会主义核心价值观，传承了中华优秀民族特色传统文化，唱响了主旋律，激发了正能量，更巩固了农村文化阵地。通过惠民演出激活了演出市场，更激发了文艺院团创作和演出活力，对剧目进行打磨，为我县文艺事业增添精品。</w:t>
            </w:r>
          </w:p>
          <w:p w14:paraId="44323A58">
            <w:pPr>
              <w:spacing w:line="320" w:lineRule="exact"/>
              <w:ind w:left="1" w:firstLine="0" w:firstLineChars="0"/>
              <w:jc w:val="left"/>
              <w:rPr>
                <w:rFonts w:hint="eastAsia" w:ascii="仿宋_GB2312" w:hAnsi="仿宋_GB2312" w:eastAsia="仿宋_GB2312" w:cs="仿宋_GB2312"/>
                <w:sz w:val="20"/>
                <w:szCs w:val="21"/>
                <w:lang w:eastAsia="zh-CN"/>
              </w:rPr>
            </w:pPr>
            <w:r>
              <w:rPr>
                <w:rFonts w:hint="eastAsia" w:ascii="仿宋_GB2312" w:hAnsi="仿宋_GB2312" w:eastAsia="仿宋_GB2312" w:cs="仿宋_GB2312"/>
                <w:sz w:val="20"/>
                <w:szCs w:val="21"/>
                <w:lang w:val="en-US" w:eastAsia="zh-CN"/>
              </w:rPr>
              <w:t>服务对象满意度：送戏下乡，让老百姓从中感受了党和政府的温暖和关怀、激发了践行二十大的精神伟力、汲取了助力乡村振兴的前进动力，受到了老百姓的普遍欢迎和好评。</w:t>
            </w:r>
          </w:p>
        </w:tc>
        <w:tc>
          <w:tcPr>
            <w:tcW w:w="832" w:type="dxa"/>
            <w:noWrap w:val="0"/>
            <w:tcMar>
              <w:top w:w="0" w:type="dxa"/>
              <w:left w:w="105" w:type="dxa"/>
              <w:bottom w:w="0" w:type="dxa"/>
              <w:right w:w="105" w:type="dxa"/>
            </w:tcMar>
            <w:vAlign w:val="center"/>
          </w:tcPr>
          <w:p w14:paraId="5895FAEF">
            <w:pPr>
              <w:spacing w:line="320" w:lineRule="exact"/>
              <w:ind w:left="1" w:firstLine="0" w:firstLineChars="0"/>
              <w:jc w:val="center"/>
              <w:rPr>
                <w:rFonts w:hint="default" w:ascii="仿宋_GB2312" w:hAnsi="仿宋_GB2312" w:eastAsia="仿宋_GB2312" w:cs="仿宋_GB2312"/>
                <w:sz w:val="20"/>
                <w:szCs w:val="21"/>
                <w:lang w:val="en-US" w:eastAsia="zh-CN"/>
              </w:rPr>
            </w:pPr>
            <w:r>
              <w:rPr>
                <w:rFonts w:hint="eastAsia" w:ascii="仿宋_GB2312" w:hAnsi="仿宋_GB2312" w:eastAsia="仿宋_GB2312" w:cs="仿宋_GB2312"/>
                <w:sz w:val="20"/>
                <w:szCs w:val="21"/>
                <w:lang w:val="en-US" w:eastAsia="zh-CN"/>
              </w:rPr>
              <w:t>20</w:t>
            </w:r>
          </w:p>
        </w:tc>
        <w:tc>
          <w:tcPr>
            <w:tcW w:w="870" w:type="dxa"/>
            <w:noWrap w:val="0"/>
            <w:tcMar>
              <w:top w:w="0" w:type="dxa"/>
              <w:left w:w="105" w:type="dxa"/>
              <w:bottom w:w="0" w:type="dxa"/>
              <w:right w:w="105" w:type="dxa"/>
            </w:tcMar>
            <w:vAlign w:val="center"/>
          </w:tcPr>
          <w:p w14:paraId="10708D33">
            <w:pPr>
              <w:spacing w:line="320" w:lineRule="exact"/>
              <w:ind w:left="1" w:firstLine="0" w:firstLineChars="0"/>
              <w:jc w:val="center"/>
              <w:rPr>
                <w:rFonts w:hint="eastAsia" w:ascii="仿宋_GB2312" w:hAnsi="仿宋_GB2312" w:eastAsia="仿宋_GB2312" w:cs="仿宋_GB2312"/>
                <w:sz w:val="20"/>
                <w:szCs w:val="21"/>
              </w:rPr>
            </w:pPr>
          </w:p>
        </w:tc>
      </w:tr>
      <w:tr w14:paraId="6395B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1" w:hRule="atLeast"/>
          <w:tblCellSpacing w:w="0" w:type="dxa"/>
        </w:trPr>
        <w:tc>
          <w:tcPr>
            <w:tcW w:w="1312" w:type="dxa"/>
            <w:noWrap w:val="0"/>
            <w:tcMar>
              <w:top w:w="0" w:type="dxa"/>
              <w:left w:w="105" w:type="dxa"/>
              <w:bottom w:w="0" w:type="dxa"/>
              <w:right w:w="105" w:type="dxa"/>
            </w:tcMar>
            <w:vAlign w:val="center"/>
          </w:tcPr>
          <w:p w14:paraId="3BA51A12">
            <w:pPr>
              <w:spacing w:line="320" w:lineRule="exact"/>
              <w:ind w:left="1" w:firstLine="0" w:firstLineChars="0"/>
              <w:jc w:val="center"/>
              <w:rPr>
                <w:rFonts w:hint="eastAsia" w:ascii="仿宋_GB2312" w:hAnsi="仿宋_GB2312" w:eastAsia="仿宋_GB2312" w:cs="仿宋_GB2312"/>
                <w:sz w:val="20"/>
                <w:szCs w:val="21"/>
              </w:rPr>
            </w:pPr>
            <w:r>
              <w:rPr>
                <w:rFonts w:hint="eastAsia" w:ascii="仿宋_GB2312" w:hAnsi="仿宋_GB2312" w:eastAsia="仿宋_GB2312" w:cs="仿宋_GB2312"/>
                <w:sz w:val="20"/>
                <w:szCs w:val="21"/>
              </w:rPr>
              <w:t>满意度</w:t>
            </w:r>
          </w:p>
        </w:tc>
        <w:tc>
          <w:tcPr>
            <w:tcW w:w="1143" w:type="dxa"/>
            <w:noWrap w:val="0"/>
            <w:tcMar>
              <w:top w:w="0" w:type="dxa"/>
              <w:left w:w="105" w:type="dxa"/>
              <w:bottom w:w="0" w:type="dxa"/>
              <w:right w:w="105" w:type="dxa"/>
            </w:tcMar>
            <w:vAlign w:val="center"/>
          </w:tcPr>
          <w:p w14:paraId="1496FDB7">
            <w:pPr>
              <w:spacing w:line="320" w:lineRule="exact"/>
              <w:ind w:left="1" w:firstLine="0" w:firstLineChars="0"/>
              <w:jc w:val="center"/>
              <w:rPr>
                <w:rFonts w:hint="eastAsia" w:ascii="仿宋_GB2312" w:hAnsi="仿宋_GB2312" w:eastAsia="仿宋_GB2312" w:cs="仿宋_GB2312"/>
                <w:sz w:val="20"/>
                <w:szCs w:val="21"/>
              </w:rPr>
            </w:pPr>
            <w:r>
              <w:rPr>
                <w:rFonts w:hint="eastAsia" w:ascii="仿宋_GB2312" w:hAnsi="仿宋_GB2312" w:eastAsia="仿宋_GB2312" w:cs="仿宋_GB2312"/>
                <w:sz w:val="20"/>
                <w:szCs w:val="21"/>
              </w:rPr>
              <w:t>10</w:t>
            </w:r>
          </w:p>
        </w:tc>
        <w:tc>
          <w:tcPr>
            <w:tcW w:w="5731" w:type="dxa"/>
            <w:gridSpan w:val="4"/>
            <w:noWrap w:val="0"/>
            <w:tcMar>
              <w:top w:w="0" w:type="dxa"/>
              <w:left w:w="105" w:type="dxa"/>
              <w:bottom w:w="0" w:type="dxa"/>
              <w:right w:w="105" w:type="dxa"/>
            </w:tcMar>
            <w:vAlign w:val="center"/>
          </w:tcPr>
          <w:p w14:paraId="574CC047">
            <w:pPr>
              <w:spacing w:line="320" w:lineRule="exact"/>
              <w:ind w:left="1" w:firstLine="0" w:firstLineChars="0"/>
              <w:jc w:val="left"/>
              <w:rPr>
                <w:rFonts w:hint="eastAsia" w:ascii="仿宋_GB2312" w:hAnsi="仿宋_GB2312" w:eastAsia="仿宋_GB2312" w:cs="仿宋_GB2312"/>
                <w:sz w:val="20"/>
                <w:szCs w:val="21"/>
              </w:rPr>
            </w:pPr>
            <w:r>
              <w:rPr>
                <w:rFonts w:hint="eastAsia" w:ascii="仿宋_GB2312" w:hAnsi="仿宋_GB2312" w:eastAsia="仿宋_GB2312" w:cs="仿宋_GB2312"/>
                <w:sz w:val="20"/>
                <w:szCs w:val="21"/>
              </w:rPr>
              <w:t>服务对象满意度计分：90%≤满意度≤100%记10分，80%≤满意度&lt;90%记8分，70%≤满意度&lt;80%   记6分，</w:t>
            </w:r>
          </w:p>
          <w:p w14:paraId="74F76603">
            <w:pPr>
              <w:spacing w:line="320" w:lineRule="exact"/>
              <w:ind w:left="1" w:firstLine="0" w:firstLineChars="0"/>
              <w:jc w:val="left"/>
              <w:rPr>
                <w:rFonts w:hint="eastAsia" w:ascii="仿宋_GB2312" w:hAnsi="仿宋_GB2312" w:eastAsia="仿宋_GB2312" w:cs="仿宋_GB2312"/>
                <w:sz w:val="20"/>
                <w:szCs w:val="21"/>
              </w:rPr>
            </w:pPr>
            <w:r>
              <w:rPr>
                <w:rFonts w:hint="eastAsia" w:ascii="仿宋_GB2312" w:hAnsi="仿宋_GB2312" w:eastAsia="仿宋_GB2312" w:cs="仿宋_GB2312"/>
                <w:sz w:val="20"/>
                <w:szCs w:val="21"/>
              </w:rPr>
              <w:t>60%≤满意度&lt;70%记4分，满意度&lt;60%记0分。</w:t>
            </w:r>
          </w:p>
        </w:tc>
        <w:tc>
          <w:tcPr>
            <w:tcW w:w="832" w:type="dxa"/>
            <w:noWrap w:val="0"/>
            <w:tcMar>
              <w:top w:w="0" w:type="dxa"/>
              <w:left w:w="105" w:type="dxa"/>
              <w:bottom w:w="0" w:type="dxa"/>
              <w:right w:w="105" w:type="dxa"/>
            </w:tcMar>
            <w:vAlign w:val="center"/>
          </w:tcPr>
          <w:p w14:paraId="4D8D0828">
            <w:pPr>
              <w:spacing w:line="320" w:lineRule="exact"/>
              <w:ind w:left="1" w:firstLine="0" w:firstLineChars="0"/>
              <w:jc w:val="center"/>
              <w:rPr>
                <w:rFonts w:hint="default" w:ascii="仿宋_GB2312" w:hAnsi="仿宋_GB2312" w:eastAsia="仿宋_GB2312" w:cs="仿宋_GB2312"/>
                <w:sz w:val="20"/>
                <w:szCs w:val="21"/>
                <w:lang w:val="en-US" w:eastAsia="zh-CN"/>
              </w:rPr>
            </w:pPr>
            <w:r>
              <w:rPr>
                <w:rFonts w:hint="eastAsia" w:ascii="仿宋_GB2312" w:hAnsi="仿宋_GB2312" w:eastAsia="仿宋_GB2312" w:cs="仿宋_GB2312"/>
                <w:sz w:val="20"/>
                <w:szCs w:val="21"/>
                <w:lang w:val="en-US" w:eastAsia="zh-CN"/>
              </w:rPr>
              <w:t>10</w:t>
            </w:r>
          </w:p>
        </w:tc>
        <w:tc>
          <w:tcPr>
            <w:tcW w:w="870" w:type="dxa"/>
            <w:noWrap w:val="0"/>
            <w:tcMar>
              <w:top w:w="0" w:type="dxa"/>
              <w:left w:w="105" w:type="dxa"/>
              <w:bottom w:w="0" w:type="dxa"/>
              <w:right w:w="105" w:type="dxa"/>
            </w:tcMar>
            <w:vAlign w:val="center"/>
          </w:tcPr>
          <w:p w14:paraId="5AD08E8A">
            <w:pPr>
              <w:spacing w:line="320" w:lineRule="exact"/>
              <w:ind w:left="1" w:firstLine="0" w:firstLineChars="0"/>
              <w:jc w:val="center"/>
              <w:rPr>
                <w:rFonts w:hint="eastAsia" w:ascii="仿宋_GB2312" w:hAnsi="仿宋_GB2312" w:eastAsia="仿宋_GB2312" w:cs="仿宋_GB2312"/>
                <w:sz w:val="20"/>
                <w:szCs w:val="21"/>
              </w:rPr>
            </w:pPr>
          </w:p>
        </w:tc>
      </w:tr>
      <w:tr w14:paraId="22EBD7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1" w:hRule="atLeast"/>
          <w:tblCellSpacing w:w="0" w:type="dxa"/>
        </w:trPr>
        <w:tc>
          <w:tcPr>
            <w:tcW w:w="1312" w:type="dxa"/>
            <w:noWrap w:val="0"/>
            <w:tcMar>
              <w:top w:w="0" w:type="dxa"/>
              <w:left w:w="105" w:type="dxa"/>
              <w:bottom w:w="0" w:type="dxa"/>
              <w:right w:w="105" w:type="dxa"/>
            </w:tcMar>
            <w:vAlign w:val="center"/>
          </w:tcPr>
          <w:p w14:paraId="59CD992B">
            <w:pPr>
              <w:spacing w:line="320" w:lineRule="exact"/>
              <w:ind w:left="1" w:firstLine="0" w:firstLineChars="0"/>
              <w:jc w:val="center"/>
              <w:rPr>
                <w:rFonts w:hint="eastAsia" w:ascii="仿宋_GB2312" w:hAnsi="仿宋_GB2312" w:eastAsia="仿宋_GB2312" w:cs="仿宋_GB2312"/>
                <w:sz w:val="20"/>
                <w:szCs w:val="21"/>
              </w:rPr>
            </w:pPr>
            <w:r>
              <w:rPr>
                <w:rFonts w:hint="eastAsia" w:ascii="仿宋_GB2312" w:hAnsi="仿宋_GB2312" w:eastAsia="仿宋_GB2312" w:cs="仿宋_GB2312"/>
                <w:sz w:val="20"/>
                <w:szCs w:val="21"/>
              </w:rPr>
              <w:t>小计</w:t>
            </w:r>
          </w:p>
        </w:tc>
        <w:tc>
          <w:tcPr>
            <w:tcW w:w="1143" w:type="dxa"/>
            <w:noWrap w:val="0"/>
            <w:tcMar>
              <w:top w:w="0" w:type="dxa"/>
              <w:left w:w="105" w:type="dxa"/>
              <w:bottom w:w="0" w:type="dxa"/>
              <w:right w:w="105" w:type="dxa"/>
            </w:tcMar>
            <w:vAlign w:val="center"/>
          </w:tcPr>
          <w:p w14:paraId="0F675F93">
            <w:pPr>
              <w:spacing w:line="320" w:lineRule="exact"/>
              <w:ind w:left="1" w:firstLine="0" w:firstLineChars="0"/>
              <w:jc w:val="center"/>
              <w:rPr>
                <w:rFonts w:hint="eastAsia" w:ascii="仿宋_GB2312" w:hAnsi="仿宋_GB2312" w:eastAsia="仿宋_GB2312" w:cs="仿宋_GB2312"/>
                <w:sz w:val="20"/>
                <w:szCs w:val="21"/>
              </w:rPr>
            </w:pPr>
            <w:r>
              <w:rPr>
                <w:rFonts w:hint="eastAsia" w:ascii="仿宋_GB2312" w:hAnsi="仿宋_GB2312" w:eastAsia="仿宋_GB2312" w:cs="仿宋_GB2312"/>
                <w:sz w:val="20"/>
                <w:szCs w:val="21"/>
              </w:rPr>
              <w:t>100</w:t>
            </w:r>
          </w:p>
        </w:tc>
        <w:tc>
          <w:tcPr>
            <w:tcW w:w="5731" w:type="dxa"/>
            <w:gridSpan w:val="4"/>
            <w:noWrap w:val="0"/>
            <w:tcMar>
              <w:top w:w="0" w:type="dxa"/>
              <w:left w:w="105" w:type="dxa"/>
              <w:bottom w:w="0" w:type="dxa"/>
              <w:right w:w="105" w:type="dxa"/>
            </w:tcMar>
            <w:vAlign w:val="center"/>
          </w:tcPr>
          <w:p w14:paraId="58003A67">
            <w:pPr>
              <w:spacing w:line="320" w:lineRule="exact"/>
              <w:ind w:left="1" w:firstLine="0" w:firstLineChars="0"/>
              <w:jc w:val="center"/>
              <w:rPr>
                <w:rFonts w:hint="eastAsia" w:ascii="仿宋_GB2312" w:hAnsi="仿宋_GB2312" w:eastAsia="仿宋_GB2312" w:cs="仿宋_GB2312"/>
                <w:sz w:val="20"/>
                <w:szCs w:val="21"/>
              </w:rPr>
            </w:pPr>
          </w:p>
        </w:tc>
        <w:tc>
          <w:tcPr>
            <w:tcW w:w="832" w:type="dxa"/>
            <w:noWrap w:val="0"/>
            <w:tcMar>
              <w:top w:w="0" w:type="dxa"/>
              <w:left w:w="105" w:type="dxa"/>
              <w:bottom w:w="0" w:type="dxa"/>
              <w:right w:w="105" w:type="dxa"/>
            </w:tcMar>
            <w:vAlign w:val="center"/>
          </w:tcPr>
          <w:p w14:paraId="23291A2C">
            <w:pPr>
              <w:spacing w:line="320" w:lineRule="exact"/>
              <w:ind w:left="1" w:firstLine="0" w:firstLineChars="0"/>
              <w:jc w:val="center"/>
              <w:rPr>
                <w:rFonts w:hint="default" w:ascii="仿宋_GB2312" w:hAnsi="仿宋_GB2312" w:eastAsia="仿宋_GB2312" w:cs="仿宋_GB2312"/>
                <w:sz w:val="20"/>
                <w:szCs w:val="21"/>
                <w:lang w:val="en-US" w:eastAsia="zh-CN"/>
              </w:rPr>
            </w:pPr>
            <w:r>
              <w:rPr>
                <w:rFonts w:hint="eastAsia" w:ascii="仿宋_GB2312" w:hAnsi="仿宋_GB2312" w:eastAsia="仿宋_GB2312" w:cs="仿宋_GB2312"/>
                <w:sz w:val="20"/>
                <w:szCs w:val="21"/>
                <w:lang w:val="en-US" w:eastAsia="zh-CN"/>
              </w:rPr>
              <w:t>96</w:t>
            </w:r>
          </w:p>
        </w:tc>
        <w:tc>
          <w:tcPr>
            <w:tcW w:w="870" w:type="dxa"/>
            <w:noWrap w:val="0"/>
            <w:tcMar>
              <w:top w:w="0" w:type="dxa"/>
              <w:left w:w="105" w:type="dxa"/>
              <w:bottom w:w="0" w:type="dxa"/>
              <w:right w:w="105" w:type="dxa"/>
            </w:tcMar>
            <w:vAlign w:val="center"/>
          </w:tcPr>
          <w:p w14:paraId="34392AC6">
            <w:pPr>
              <w:spacing w:line="320" w:lineRule="exact"/>
              <w:ind w:left="1" w:firstLine="0" w:firstLineChars="0"/>
              <w:jc w:val="center"/>
              <w:rPr>
                <w:rFonts w:hint="eastAsia" w:ascii="仿宋_GB2312" w:hAnsi="仿宋_GB2312" w:eastAsia="仿宋_GB2312" w:cs="仿宋_GB2312"/>
                <w:sz w:val="20"/>
                <w:szCs w:val="21"/>
              </w:rPr>
            </w:pPr>
          </w:p>
        </w:tc>
      </w:tr>
      <w:tr w14:paraId="0673CD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25" w:hRule="atLeast"/>
          <w:tblCellSpacing w:w="0" w:type="dxa"/>
        </w:trPr>
        <w:tc>
          <w:tcPr>
            <w:tcW w:w="1312" w:type="dxa"/>
            <w:noWrap w:val="0"/>
            <w:tcMar>
              <w:top w:w="0" w:type="dxa"/>
              <w:left w:w="105" w:type="dxa"/>
              <w:bottom w:w="0" w:type="dxa"/>
              <w:right w:w="105" w:type="dxa"/>
            </w:tcMar>
            <w:vAlign w:val="center"/>
          </w:tcPr>
          <w:p w14:paraId="2780E02E">
            <w:pPr>
              <w:spacing w:line="320" w:lineRule="exact"/>
              <w:ind w:left="1" w:firstLine="0" w:firstLineChars="0"/>
              <w:jc w:val="center"/>
              <w:rPr>
                <w:rFonts w:hint="eastAsia" w:ascii="仿宋_GB2312" w:hAnsi="仿宋_GB2312" w:eastAsia="仿宋_GB2312" w:cs="仿宋_GB2312"/>
                <w:sz w:val="20"/>
                <w:szCs w:val="21"/>
              </w:rPr>
            </w:pPr>
            <w:r>
              <w:rPr>
                <w:rFonts w:hint="eastAsia" w:ascii="仿宋_GB2312" w:hAnsi="仿宋_GB2312" w:eastAsia="仿宋_GB2312" w:cs="仿宋_GB2312"/>
                <w:sz w:val="20"/>
                <w:szCs w:val="21"/>
              </w:rPr>
              <w:t>负向指标</w:t>
            </w:r>
          </w:p>
        </w:tc>
        <w:tc>
          <w:tcPr>
            <w:tcW w:w="1143" w:type="dxa"/>
            <w:noWrap w:val="0"/>
            <w:tcMar>
              <w:top w:w="0" w:type="dxa"/>
              <w:left w:w="105" w:type="dxa"/>
              <w:bottom w:w="0" w:type="dxa"/>
              <w:right w:w="105" w:type="dxa"/>
            </w:tcMar>
            <w:vAlign w:val="center"/>
          </w:tcPr>
          <w:p w14:paraId="1DB9068D">
            <w:pPr>
              <w:spacing w:line="320" w:lineRule="exact"/>
              <w:ind w:left="1" w:firstLine="0" w:firstLineChars="0"/>
              <w:jc w:val="center"/>
              <w:rPr>
                <w:rFonts w:hint="eastAsia" w:ascii="仿宋_GB2312" w:hAnsi="仿宋_GB2312" w:eastAsia="仿宋_GB2312" w:cs="仿宋_GB2312"/>
                <w:sz w:val="20"/>
                <w:szCs w:val="21"/>
              </w:rPr>
            </w:pPr>
          </w:p>
        </w:tc>
        <w:tc>
          <w:tcPr>
            <w:tcW w:w="5731" w:type="dxa"/>
            <w:gridSpan w:val="4"/>
            <w:noWrap w:val="0"/>
            <w:tcMar>
              <w:top w:w="0" w:type="dxa"/>
              <w:left w:w="105" w:type="dxa"/>
              <w:bottom w:w="0" w:type="dxa"/>
              <w:right w:w="105" w:type="dxa"/>
            </w:tcMar>
            <w:vAlign w:val="center"/>
          </w:tcPr>
          <w:p w14:paraId="0C6C0788">
            <w:pPr>
              <w:spacing w:line="320" w:lineRule="exact"/>
              <w:ind w:left="1" w:firstLine="0" w:firstLineChars="0"/>
              <w:jc w:val="center"/>
              <w:rPr>
                <w:rFonts w:hint="eastAsia" w:ascii="仿宋_GB2312" w:hAnsi="仿宋_GB2312" w:eastAsia="仿宋_GB2312" w:cs="仿宋_GB2312"/>
                <w:sz w:val="20"/>
                <w:szCs w:val="21"/>
              </w:rPr>
            </w:pPr>
            <w:r>
              <w:rPr>
                <w:rFonts w:hint="eastAsia" w:ascii="仿宋_GB2312" w:hAnsi="仿宋_GB2312" w:eastAsia="仿宋_GB2312" w:cs="仿宋_GB2312"/>
                <w:sz w:val="20"/>
                <w:szCs w:val="21"/>
              </w:rPr>
              <w:t>主要评价自评得分与复评得分差异率。差异率≤10%，不扣分；10%&lt;差异率≤15%，扣2分；15%&lt;差异率≤20%，扣4分；差异率&gt;20%，扣6分。</w:t>
            </w:r>
          </w:p>
        </w:tc>
        <w:tc>
          <w:tcPr>
            <w:tcW w:w="832" w:type="dxa"/>
            <w:noWrap w:val="0"/>
            <w:tcMar>
              <w:top w:w="0" w:type="dxa"/>
              <w:left w:w="105" w:type="dxa"/>
              <w:bottom w:w="0" w:type="dxa"/>
              <w:right w:w="105" w:type="dxa"/>
            </w:tcMar>
            <w:vAlign w:val="center"/>
          </w:tcPr>
          <w:p w14:paraId="02D5B352">
            <w:pPr>
              <w:spacing w:line="320" w:lineRule="exact"/>
              <w:ind w:left="1" w:firstLine="0" w:firstLineChars="0"/>
              <w:jc w:val="center"/>
              <w:rPr>
                <w:rFonts w:hint="eastAsia" w:ascii="仿宋_GB2312" w:hAnsi="仿宋_GB2312" w:eastAsia="仿宋_GB2312" w:cs="仿宋_GB2312"/>
                <w:sz w:val="20"/>
                <w:szCs w:val="21"/>
              </w:rPr>
            </w:pPr>
          </w:p>
        </w:tc>
        <w:tc>
          <w:tcPr>
            <w:tcW w:w="870" w:type="dxa"/>
            <w:noWrap w:val="0"/>
            <w:tcMar>
              <w:top w:w="0" w:type="dxa"/>
              <w:left w:w="105" w:type="dxa"/>
              <w:bottom w:w="0" w:type="dxa"/>
              <w:right w:w="105" w:type="dxa"/>
            </w:tcMar>
            <w:vAlign w:val="center"/>
          </w:tcPr>
          <w:p w14:paraId="4617B967">
            <w:pPr>
              <w:spacing w:line="320" w:lineRule="exact"/>
              <w:ind w:left="1" w:firstLine="0" w:firstLineChars="0"/>
              <w:jc w:val="center"/>
              <w:rPr>
                <w:rFonts w:hint="eastAsia" w:ascii="仿宋_GB2312" w:hAnsi="仿宋_GB2312" w:eastAsia="仿宋_GB2312" w:cs="仿宋_GB2312"/>
                <w:sz w:val="20"/>
                <w:szCs w:val="21"/>
              </w:rPr>
            </w:pPr>
          </w:p>
        </w:tc>
      </w:tr>
      <w:tr w14:paraId="144C4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2" w:hRule="atLeast"/>
          <w:tblCellSpacing w:w="0" w:type="dxa"/>
        </w:trPr>
        <w:tc>
          <w:tcPr>
            <w:tcW w:w="1312" w:type="dxa"/>
            <w:noWrap w:val="0"/>
            <w:tcMar>
              <w:top w:w="0" w:type="dxa"/>
              <w:left w:w="105" w:type="dxa"/>
              <w:bottom w:w="0" w:type="dxa"/>
              <w:right w:w="105" w:type="dxa"/>
            </w:tcMar>
            <w:vAlign w:val="center"/>
          </w:tcPr>
          <w:p w14:paraId="1E3C619C">
            <w:pPr>
              <w:spacing w:line="320" w:lineRule="exact"/>
              <w:ind w:left="1" w:firstLine="0" w:firstLineChars="0"/>
              <w:jc w:val="center"/>
              <w:rPr>
                <w:rFonts w:hint="eastAsia" w:ascii="仿宋_GB2312" w:hAnsi="仿宋_GB2312" w:eastAsia="仿宋_GB2312" w:cs="仿宋_GB2312"/>
                <w:sz w:val="20"/>
                <w:szCs w:val="21"/>
              </w:rPr>
            </w:pPr>
            <w:r>
              <w:rPr>
                <w:rFonts w:hint="eastAsia" w:ascii="仿宋_GB2312" w:hAnsi="仿宋_GB2312" w:eastAsia="仿宋_GB2312" w:cs="仿宋_GB2312"/>
                <w:sz w:val="20"/>
                <w:szCs w:val="21"/>
              </w:rPr>
              <w:t>合计</w:t>
            </w:r>
          </w:p>
        </w:tc>
        <w:tc>
          <w:tcPr>
            <w:tcW w:w="1143" w:type="dxa"/>
            <w:noWrap w:val="0"/>
            <w:tcMar>
              <w:top w:w="0" w:type="dxa"/>
              <w:left w:w="105" w:type="dxa"/>
              <w:bottom w:w="0" w:type="dxa"/>
              <w:right w:w="105" w:type="dxa"/>
            </w:tcMar>
            <w:vAlign w:val="center"/>
          </w:tcPr>
          <w:p w14:paraId="12459C01">
            <w:pPr>
              <w:spacing w:line="320" w:lineRule="exact"/>
              <w:ind w:left="1" w:firstLine="0" w:firstLineChars="0"/>
              <w:jc w:val="center"/>
              <w:rPr>
                <w:rFonts w:hint="eastAsia" w:ascii="仿宋_GB2312" w:hAnsi="仿宋_GB2312" w:eastAsia="仿宋_GB2312" w:cs="仿宋_GB2312"/>
                <w:sz w:val="20"/>
                <w:szCs w:val="21"/>
              </w:rPr>
            </w:pPr>
            <w:r>
              <w:rPr>
                <w:rFonts w:hint="eastAsia" w:ascii="仿宋_GB2312" w:hAnsi="仿宋_GB2312" w:eastAsia="仿宋_GB2312" w:cs="仿宋_GB2312"/>
                <w:sz w:val="20"/>
                <w:szCs w:val="21"/>
              </w:rPr>
              <w:t>100</w:t>
            </w:r>
          </w:p>
        </w:tc>
        <w:tc>
          <w:tcPr>
            <w:tcW w:w="5731" w:type="dxa"/>
            <w:gridSpan w:val="4"/>
            <w:noWrap w:val="0"/>
            <w:tcMar>
              <w:top w:w="0" w:type="dxa"/>
              <w:left w:w="105" w:type="dxa"/>
              <w:bottom w:w="0" w:type="dxa"/>
              <w:right w:w="105" w:type="dxa"/>
            </w:tcMar>
            <w:vAlign w:val="center"/>
          </w:tcPr>
          <w:p w14:paraId="7EB1F164">
            <w:pPr>
              <w:spacing w:line="320" w:lineRule="exact"/>
              <w:ind w:left="1" w:firstLine="0" w:firstLineChars="0"/>
              <w:jc w:val="center"/>
              <w:rPr>
                <w:rFonts w:hint="eastAsia" w:ascii="仿宋_GB2312" w:hAnsi="仿宋_GB2312" w:eastAsia="仿宋_GB2312" w:cs="仿宋_GB2312"/>
                <w:sz w:val="20"/>
                <w:szCs w:val="21"/>
              </w:rPr>
            </w:pPr>
          </w:p>
        </w:tc>
        <w:tc>
          <w:tcPr>
            <w:tcW w:w="832" w:type="dxa"/>
            <w:noWrap w:val="0"/>
            <w:tcMar>
              <w:top w:w="0" w:type="dxa"/>
              <w:left w:w="105" w:type="dxa"/>
              <w:bottom w:w="0" w:type="dxa"/>
              <w:right w:w="105" w:type="dxa"/>
            </w:tcMar>
            <w:vAlign w:val="center"/>
          </w:tcPr>
          <w:p w14:paraId="0776A377">
            <w:pPr>
              <w:spacing w:line="320" w:lineRule="exact"/>
              <w:ind w:left="1" w:firstLine="0" w:firstLineChars="0"/>
              <w:jc w:val="center"/>
              <w:rPr>
                <w:rFonts w:hint="default" w:ascii="仿宋_GB2312" w:hAnsi="仿宋_GB2312" w:eastAsia="仿宋_GB2312" w:cs="仿宋_GB2312"/>
                <w:sz w:val="20"/>
                <w:szCs w:val="21"/>
                <w:lang w:val="en-US" w:eastAsia="zh-CN"/>
              </w:rPr>
            </w:pPr>
            <w:r>
              <w:rPr>
                <w:rFonts w:hint="eastAsia" w:ascii="仿宋_GB2312" w:hAnsi="仿宋_GB2312" w:eastAsia="仿宋_GB2312" w:cs="仿宋_GB2312"/>
                <w:sz w:val="20"/>
                <w:szCs w:val="21"/>
                <w:lang w:val="en-US" w:eastAsia="zh-CN"/>
              </w:rPr>
              <w:t>96</w:t>
            </w:r>
          </w:p>
        </w:tc>
        <w:tc>
          <w:tcPr>
            <w:tcW w:w="870" w:type="dxa"/>
            <w:noWrap w:val="0"/>
            <w:tcMar>
              <w:top w:w="0" w:type="dxa"/>
              <w:left w:w="105" w:type="dxa"/>
              <w:bottom w:w="0" w:type="dxa"/>
              <w:right w:w="105" w:type="dxa"/>
            </w:tcMar>
            <w:vAlign w:val="center"/>
          </w:tcPr>
          <w:p w14:paraId="0BA2AD38">
            <w:pPr>
              <w:spacing w:line="320" w:lineRule="exact"/>
              <w:ind w:left="1" w:firstLine="0" w:firstLineChars="0"/>
              <w:jc w:val="center"/>
              <w:rPr>
                <w:rFonts w:hint="eastAsia" w:ascii="仿宋_GB2312" w:hAnsi="仿宋_GB2312" w:eastAsia="仿宋_GB2312" w:cs="仿宋_GB2312"/>
                <w:sz w:val="20"/>
                <w:szCs w:val="21"/>
              </w:rPr>
            </w:pPr>
          </w:p>
        </w:tc>
      </w:tr>
      <w:tr w14:paraId="78F391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60" w:hRule="atLeast"/>
          <w:tblCellSpacing w:w="0" w:type="dxa"/>
        </w:trPr>
        <w:tc>
          <w:tcPr>
            <w:tcW w:w="1312" w:type="dxa"/>
            <w:noWrap w:val="0"/>
            <w:tcMar>
              <w:top w:w="0" w:type="dxa"/>
              <w:left w:w="105" w:type="dxa"/>
              <w:bottom w:w="0" w:type="dxa"/>
              <w:right w:w="105" w:type="dxa"/>
            </w:tcMar>
            <w:vAlign w:val="center"/>
          </w:tcPr>
          <w:p w14:paraId="3AFB20A9">
            <w:pPr>
              <w:spacing w:line="320" w:lineRule="exact"/>
              <w:ind w:left="1" w:firstLine="0" w:firstLineChars="0"/>
              <w:jc w:val="center"/>
              <w:rPr>
                <w:rFonts w:hint="eastAsia" w:ascii="仿宋_GB2312" w:hAnsi="仿宋_GB2312" w:eastAsia="仿宋_GB2312" w:cs="仿宋_GB2312"/>
                <w:sz w:val="20"/>
                <w:szCs w:val="21"/>
              </w:rPr>
            </w:pPr>
            <w:r>
              <w:rPr>
                <w:rFonts w:hint="eastAsia" w:ascii="仿宋_GB2312" w:hAnsi="仿宋_GB2312" w:eastAsia="仿宋_GB2312" w:cs="仿宋_GB2312"/>
                <w:sz w:val="20"/>
                <w:szCs w:val="21"/>
              </w:rPr>
              <w:t>评价结果</w:t>
            </w:r>
          </w:p>
        </w:tc>
        <w:tc>
          <w:tcPr>
            <w:tcW w:w="1143" w:type="dxa"/>
            <w:noWrap w:val="0"/>
            <w:tcMar>
              <w:top w:w="0" w:type="dxa"/>
              <w:left w:w="105" w:type="dxa"/>
              <w:bottom w:w="0" w:type="dxa"/>
              <w:right w:w="105" w:type="dxa"/>
            </w:tcMar>
            <w:vAlign w:val="center"/>
          </w:tcPr>
          <w:p w14:paraId="5D589184">
            <w:pPr>
              <w:spacing w:line="320" w:lineRule="exact"/>
              <w:ind w:left="1" w:firstLine="0" w:firstLineChars="0"/>
              <w:jc w:val="center"/>
              <w:rPr>
                <w:rFonts w:hint="eastAsia" w:ascii="仿宋_GB2312" w:hAnsi="仿宋_GB2312" w:eastAsia="仿宋_GB2312" w:cs="仿宋_GB2312"/>
                <w:sz w:val="20"/>
                <w:szCs w:val="21"/>
              </w:rPr>
            </w:pPr>
          </w:p>
        </w:tc>
        <w:tc>
          <w:tcPr>
            <w:tcW w:w="7433" w:type="dxa"/>
            <w:gridSpan w:val="6"/>
            <w:noWrap w:val="0"/>
            <w:tcMar>
              <w:top w:w="0" w:type="dxa"/>
              <w:left w:w="105" w:type="dxa"/>
              <w:bottom w:w="0" w:type="dxa"/>
              <w:right w:w="105" w:type="dxa"/>
            </w:tcMar>
            <w:vAlign w:val="center"/>
          </w:tcPr>
          <w:p w14:paraId="49FD77BE">
            <w:pPr>
              <w:spacing w:line="320" w:lineRule="exact"/>
              <w:ind w:left="1" w:firstLine="0" w:firstLineChars="0"/>
              <w:jc w:val="left"/>
              <w:rPr>
                <w:rFonts w:hint="eastAsia" w:ascii="仿宋_GB2312" w:hAnsi="仿宋_GB2312" w:eastAsia="仿宋_GB2312" w:cs="仿宋_GB2312"/>
                <w:sz w:val="20"/>
                <w:szCs w:val="21"/>
              </w:rPr>
            </w:pPr>
            <w:r>
              <w:rPr>
                <w:rFonts w:hint="eastAsia" w:ascii="仿宋_GB2312" w:hAnsi="仿宋_GB2312" w:eastAsia="仿宋_GB2312" w:cs="仿宋_GB2312"/>
                <w:sz w:val="20"/>
                <w:szCs w:val="21"/>
                <w:lang w:eastAsia="zh-CN"/>
              </w:rPr>
              <w:t>☑</w:t>
            </w:r>
            <w:r>
              <w:rPr>
                <w:rFonts w:hint="eastAsia" w:ascii="仿宋_GB2312" w:hAnsi="仿宋_GB2312" w:eastAsia="仿宋_GB2312" w:cs="仿宋_GB2312"/>
                <w:sz w:val="20"/>
                <w:szCs w:val="21"/>
              </w:rPr>
              <w:t xml:space="preserve"> 优秀  90分≤得分≤100分；    □ 良好  80分≤得分＜90分；</w:t>
            </w:r>
          </w:p>
          <w:p w14:paraId="7E2E88A7">
            <w:pPr>
              <w:spacing w:line="320" w:lineRule="exact"/>
              <w:ind w:left="1" w:firstLine="0" w:firstLineChars="0"/>
              <w:jc w:val="left"/>
              <w:rPr>
                <w:rFonts w:hint="eastAsia" w:ascii="仿宋_GB2312" w:hAnsi="仿宋_GB2312" w:eastAsia="仿宋_GB2312" w:cs="仿宋_GB2312"/>
                <w:sz w:val="20"/>
                <w:szCs w:val="21"/>
              </w:rPr>
            </w:pPr>
            <w:r>
              <w:rPr>
                <w:rFonts w:hint="eastAsia" w:ascii="仿宋_GB2312" w:hAnsi="仿宋_GB2312" w:eastAsia="仿宋_GB2312" w:cs="仿宋_GB2312"/>
                <w:sz w:val="20"/>
                <w:szCs w:val="21"/>
              </w:rPr>
              <w:t>□ 较差   60分≤得分＜80分；    □ 差    得分＜60分</w:t>
            </w:r>
          </w:p>
        </w:tc>
      </w:tr>
    </w:tbl>
    <w:p w14:paraId="611B64A1">
      <w:pPr>
        <w:spacing w:line="320" w:lineRule="exact"/>
        <w:ind w:left="0" w:firstLine="0" w:firstLineChars="0"/>
        <w:jc w:val="both"/>
        <w:rPr>
          <w:rFonts w:hint="eastAsia" w:ascii="仿宋_GB2312" w:hAnsi="仿宋_GB2312" w:eastAsia="仿宋_GB2312" w:cs="仿宋_GB2312"/>
          <w:sz w:val="20"/>
          <w:szCs w:val="21"/>
        </w:rPr>
      </w:pPr>
    </w:p>
    <w:p w14:paraId="78DBD529">
      <w:pPr>
        <w:spacing w:line="320" w:lineRule="exact"/>
        <w:ind w:left="0" w:firstLine="0" w:firstLineChars="0"/>
        <w:jc w:val="both"/>
        <w:rPr>
          <w:rFonts w:hint="eastAsia" w:ascii="仿宋_GB2312" w:hAnsi="仿宋_GB2312" w:eastAsia="仿宋_GB2312" w:cs="仿宋_GB2312"/>
          <w:sz w:val="20"/>
          <w:szCs w:val="21"/>
        </w:rPr>
      </w:pPr>
      <w:r>
        <w:rPr>
          <w:rFonts w:hint="eastAsia" w:ascii="仿宋_GB2312" w:hAnsi="仿宋_GB2312" w:eastAsia="仿宋_GB2312" w:cs="仿宋_GB2312"/>
          <w:sz w:val="20"/>
          <w:szCs w:val="21"/>
        </w:rPr>
        <w:t>单位负责人（签字）：            项目负责人（签字）：        填表日期：  年   月   日</w:t>
      </w:r>
    </w:p>
    <w:p w14:paraId="02EA254F">
      <w:pPr>
        <w:spacing w:before="240" w:line="340" w:lineRule="exact"/>
        <w:jc w:val="left"/>
        <w:rPr>
          <w:rFonts w:hint="eastAsia" w:ascii="仿宋_GB2312" w:hAnsi="仿宋_GB2312" w:eastAsia="仿宋_GB2312" w:cs="仿宋_GB2312"/>
          <w:b/>
          <w:sz w:val="24"/>
        </w:rPr>
        <w:sectPr>
          <w:pgSz w:w="11906" w:h="16838"/>
          <w:pgMar w:top="1440" w:right="1800" w:bottom="1440" w:left="1800" w:header="851" w:footer="992" w:gutter="0"/>
          <w:cols w:space="425" w:num="1"/>
          <w:docGrid w:type="lines" w:linePitch="312" w:charSpace="0"/>
        </w:sectPr>
      </w:pPr>
    </w:p>
    <w:p w14:paraId="442CD892">
      <w:pPr>
        <w:spacing w:before="240" w:line="340" w:lineRule="exact"/>
        <w:jc w:val="left"/>
        <w:rPr>
          <w:b/>
          <w:sz w:val="24"/>
        </w:rPr>
      </w:pPr>
      <w:bookmarkStart w:id="0" w:name="_GoBack"/>
      <w:bookmarkEnd w:id="0"/>
      <w:r>
        <w:rPr>
          <w:rFonts w:hint="eastAsia" w:ascii="仿宋_GB2312" w:hAnsi="仿宋_GB2312" w:eastAsia="仿宋_GB2312" w:cs="仿宋_GB2312"/>
          <w:b/>
          <w:sz w:val="24"/>
        </w:rPr>
        <w:t>附件2-3 </w:t>
      </w:r>
    </w:p>
    <w:p w14:paraId="5D7AEF4C">
      <w:pPr>
        <w:spacing w:line="600" w:lineRule="exact"/>
        <w:jc w:val="center"/>
        <w:rPr>
          <w:rFonts w:hint="eastAsia" w:ascii="宋体" w:hAnsi="宋体"/>
          <w:b/>
          <w:w w:val="85"/>
          <w:sz w:val="36"/>
          <w:szCs w:val="36"/>
        </w:rPr>
      </w:pPr>
      <w:r>
        <w:rPr>
          <w:rFonts w:eastAsia="方正粗宋简体"/>
          <w:w w:val="85"/>
          <w:sz w:val="44"/>
          <w:szCs w:val="44"/>
        </w:rPr>
        <w:t> </w:t>
      </w:r>
      <w:r>
        <w:rPr>
          <w:rFonts w:hint="eastAsia" w:ascii="宋体" w:hAnsi="宋体" w:eastAsia="方正粗宋简体"/>
          <w:b/>
          <w:w w:val="85"/>
          <w:sz w:val="36"/>
          <w:szCs w:val="36"/>
          <w:lang w:eastAsia="zh-CN"/>
        </w:rPr>
        <w:t>2023</w:t>
      </w:r>
      <w:r>
        <w:rPr>
          <w:rFonts w:ascii="宋体" w:hAnsi="宋体"/>
          <w:b/>
          <w:w w:val="85"/>
          <w:sz w:val="36"/>
          <w:szCs w:val="36"/>
        </w:rPr>
        <w:t>年度新晃县</w:t>
      </w:r>
      <w:r>
        <w:rPr>
          <w:rFonts w:hint="eastAsia" w:ascii="宋体" w:hAnsi="宋体"/>
          <w:b/>
          <w:w w:val="85"/>
          <w:sz w:val="36"/>
          <w:szCs w:val="36"/>
        </w:rPr>
        <w:t>项目</w:t>
      </w:r>
      <w:r>
        <w:rPr>
          <w:rFonts w:ascii="宋体" w:hAnsi="宋体"/>
          <w:b/>
          <w:w w:val="85"/>
          <w:sz w:val="36"/>
          <w:szCs w:val="36"/>
        </w:rPr>
        <w:t>支出</w:t>
      </w:r>
      <w:r>
        <w:rPr>
          <w:rFonts w:hint="eastAsia" w:ascii="宋体" w:hAnsi="宋体"/>
          <w:b/>
          <w:w w:val="85"/>
          <w:sz w:val="36"/>
          <w:szCs w:val="36"/>
        </w:rPr>
        <w:t>绩效</w:t>
      </w:r>
      <w:r>
        <w:rPr>
          <w:rFonts w:ascii="宋体" w:hAnsi="宋体"/>
          <w:b/>
          <w:w w:val="85"/>
          <w:sz w:val="36"/>
          <w:szCs w:val="36"/>
        </w:rPr>
        <w:t>自评报告</w:t>
      </w:r>
    </w:p>
    <w:p w14:paraId="4C2C06D3">
      <w:pPr>
        <w:spacing w:line="560" w:lineRule="exact"/>
        <w:ind w:firstLine="643" w:firstLineChars="200"/>
        <w:jc w:val="left"/>
        <w:rPr>
          <w:rFonts w:hint="eastAsia" w:ascii="仿宋_GB2312" w:hAnsi="仿宋_GB2312" w:eastAsia="仿宋_GB2312" w:cs="仿宋_GB2312"/>
          <w:bCs/>
          <w:sz w:val="32"/>
          <w:szCs w:val="32"/>
        </w:rPr>
      </w:pPr>
      <w:r>
        <w:rPr>
          <w:rFonts w:hint="eastAsia" w:ascii="宋体" w:hAnsi="宋体" w:eastAsia="宋体" w:cs="宋体"/>
          <w:b/>
          <w:bCs w:val="0"/>
          <w:sz w:val="32"/>
          <w:szCs w:val="32"/>
        </w:rPr>
        <w:t>一、基本情况</w:t>
      </w:r>
    </w:p>
    <w:p w14:paraId="49FE15EA">
      <w:pPr>
        <w:spacing w:line="560" w:lineRule="exact"/>
        <w:ind w:firstLine="640" w:firstLineChars="200"/>
        <w:jc w:val="left"/>
        <w:rPr>
          <w:rFonts w:hint="eastAsia" w:ascii="仿宋_GB2312" w:eastAsia="仿宋_GB2312"/>
          <w:sz w:val="32"/>
          <w:szCs w:val="32"/>
          <w:lang w:eastAsia="zh-CN"/>
        </w:rPr>
      </w:pPr>
      <w:r>
        <w:rPr>
          <w:rFonts w:hint="eastAsia" w:ascii="仿宋_GB2312" w:eastAsia="仿宋_GB2312"/>
          <w:sz w:val="32"/>
          <w:szCs w:val="32"/>
          <w:lang w:eastAsia="zh-CN"/>
        </w:rPr>
        <w:t>（一）项目概况。</w:t>
      </w:r>
    </w:p>
    <w:p w14:paraId="3C5A4D37">
      <w:pPr>
        <w:spacing w:line="560" w:lineRule="exact"/>
        <w:ind w:firstLine="640" w:firstLineChars="200"/>
        <w:jc w:val="left"/>
        <w:rPr>
          <w:rFonts w:hint="eastAsia" w:ascii="仿宋_GB2312" w:eastAsia="仿宋_GB2312"/>
          <w:sz w:val="32"/>
          <w:szCs w:val="32"/>
          <w:lang w:eastAsia="zh-CN"/>
        </w:rPr>
      </w:pPr>
      <w:r>
        <w:rPr>
          <w:rFonts w:hint="eastAsia" w:ascii="仿宋_GB2312" w:eastAsia="仿宋_GB2312"/>
          <w:sz w:val="32"/>
          <w:szCs w:val="32"/>
          <w:lang w:eastAsia="zh-CN"/>
        </w:rPr>
        <w:t>为贯彻落实怀化市文化旅游广电体育局关于转发省文旅厅《关于深入实施</w:t>
      </w:r>
      <w:r>
        <w:rPr>
          <w:rFonts w:hint="eastAsia" w:ascii="仿宋_GB2312" w:eastAsia="仿宋_GB2312"/>
          <w:sz w:val="32"/>
          <w:szCs w:val="32"/>
          <w:lang w:val="en-US" w:eastAsia="zh-CN"/>
        </w:rPr>
        <w:t>2023年“湖南公共文化进村入户•戏曲进乡村”文化惠民项目的通知</w:t>
      </w:r>
      <w:r>
        <w:rPr>
          <w:rFonts w:hint="eastAsia" w:ascii="仿宋_GB2312" w:eastAsia="仿宋_GB2312"/>
          <w:sz w:val="32"/>
          <w:szCs w:val="32"/>
          <w:lang w:eastAsia="zh-CN"/>
        </w:rPr>
        <w:t>》（湘文旅公共〔</w:t>
      </w:r>
      <w:r>
        <w:rPr>
          <w:rFonts w:hint="eastAsia" w:ascii="仿宋_GB2312" w:eastAsia="仿宋_GB2312"/>
          <w:sz w:val="32"/>
          <w:szCs w:val="32"/>
          <w:lang w:val="en-US" w:eastAsia="zh-CN"/>
        </w:rPr>
        <w:t>2023〕32号</w:t>
      </w:r>
      <w:r>
        <w:rPr>
          <w:rFonts w:hint="eastAsia" w:ascii="仿宋_GB2312" w:eastAsia="仿宋_GB2312"/>
          <w:sz w:val="32"/>
          <w:szCs w:val="32"/>
          <w:lang w:eastAsia="zh-CN"/>
        </w:rPr>
        <w:t>）的通知，提升我县公共文化服务水平，满足群众精神文化需求，进一步推动文化均等化繁荣发展，根据上级对“免费送戏（曲）下乡”工作要求，现就我县“送戏（曲）下乡”文化惠民演出活动。</w:t>
      </w:r>
    </w:p>
    <w:p w14:paraId="1D1C323B">
      <w:pPr>
        <w:spacing w:line="560" w:lineRule="exact"/>
        <w:ind w:firstLine="640" w:firstLineChars="200"/>
        <w:jc w:val="left"/>
        <w:rPr>
          <w:rFonts w:hint="eastAsia" w:ascii="仿宋_GB2312" w:eastAsia="仿宋_GB2312"/>
          <w:sz w:val="32"/>
          <w:szCs w:val="32"/>
          <w:lang w:val="en-US" w:eastAsia="zh-CN"/>
        </w:rPr>
      </w:pPr>
      <w:r>
        <w:rPr>
          <w:rFonts w:hint="eastAsia" w:ascii="仿宋_GB2312" w:eastAsia="仿宋_GB2312"/>
          <w:sz w:val="32"/>
          <w:szCs w:val="32"/>
          <w:lang w:eastAsia="zh-CN"/>
        </w:rPr>
        <w:t>为此，县民族歌舞剧团准备了两台剧目，一是</w:t>
      </w:r>
      <w:r>
        <w:rPr>
          <w:rFonts w:hint="eastAsia" w:ascii="仿宋_GB2312" w:eastAsia="仿宋_GB2312"/>
          <w:sz w:val="32"/>
          <w:szCs w:val="32"/>
          <w:lang w:val="en-US" w:eastAsia="zh-CN"/>
        </w:rPr>
        <w:t>大型红色民族歌剧《深夜静悄悄》，时长1小时；二是民族歌舞，包括《祖国颂》、独唱《唱支山歌给党听》、傩戏《过五关古城会》选段、音乐快板《二十大精神放光芒》，时长5分钟、小品《新农村》、歌舞《家乡美》等节目，在全县各乡镇，原23个乡镇，137个行政村、社区、学校等演出，目前收到财政拨款60万元，均已用于活动经费开支。</w:t>
      </w:r>
    </w:p>
    <w:p w14:paraId="3613DF88">
      <w:pPr>
        <w:spacing w:line="560" w:lineRule="exact"/>
        <w:ind w:firstLine="640" w:firstLineChars="200"/>
        <w:jc w:val="left"/>
        <w:rPr>
          <w:rFonts w:hint="default" w:ascii="仿宋_GB2312" w:eastAsia="仿宋_GB2312"/>
          <w:sz w:val="32"/>
          <w:szCs w:val="32"/>
          <w:lang w:val="en-US" w:eastAsia="zh-CN"/>
        </w:rPr>
      </w:pPr>
      <w:r>
        <w:rPr>
          <w:rFonts w:hint="eastAsia" w:ascii="仿宋_GB2312" w:eastAsia="仿宋_GB2312"/>
          <w:sz w:val="32"/>
          <w:szCs w:val="32"/>
          <w:lang w:eastAsia="zh-CN"/>
        </w:rPr>
        <w:t>项目绩效目标。</w:t>
      </w:r>
      <w:r>
        <w:rPr>
          <w:rFonts w:hint="eastAsia" w:ascii="仿宋_GB2312" w:eastAsia="仿宋_GB2312"/>
          <w:sz w:val="32"/>
          <w:szCs w:val="32"/>
          <w:lang w:val="en-US" w:eastAsia="zh-CN"/>
        </w:rPr>
        <w:t>2023年送戏（曲）下乡总体目标230场，分阶段进行，计划2023年4月初-6月底，完成80场；2023年7月初-9月底，完成80场；2023年10月初-12月底，完成70场。</w:t>
      </w:r>
    </w:p>
    <w:p w14:paraId="29372221">
      <w:pPr>
        <w:numPr>
          <w:ilvl w:val="0"/>
          <w:numId w:val="1"/>
        </w:numPr>
        <w:spacing w:line="560" w:lineRule="exact"/>
        <w:ind w:firstLine="640" w:firstLineChars="200"/>
        <w:jc w:val="left"/>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项目绩效目标。</w:t>
      </w:r>
    </w:p>
    <w:p w14:paraId="3A774C0A">
      <w:pPr>
        <w:spacing w:line="560" w:lineRule="exact"/>
        <w:ind w:firstLine="640" w:firstLineChars="200"/>
        <w:jc w:val="left"/>
        <w:rPr>
          <w:rFonts w:hint="eastAsia" w:ascii="仿宋_GB2312" w:eastAsia="仿宋_GB2312"/>
          <w:sz w:val="32"/>
          <w:szCs w:val="32"/>
          <w:lang w:val="en-US" w:eastAsia="zh-CN"/>
        </w:rPr>
      </w:pPr>
      <w:r>
        <w:rPr>
          <w:rFonts w:hint="eastAsia" w:ascii="仿宋_GB2312" w:eastAsia="仿宋_GB2312"/>
          <w:sz w:val="32"/>
          <w:szCs w:val="32"/>
          <w:lang w:val="en-US" w:eastAsia="zh-CN"/>
        </w:rPr>
        <w:t>2023年送戏（曲）下乡总体目标230场，分阶段进行，计划2023年4月初-6月底，完成80场；2023年7月初-9月底，完成80场；2023年10月初-12月底，完成70场。</w:t>
      </w:r>
    </w:p>
    <w:p w14:paraId="4DD13C1F">
      <w:pPr>
        <w:spacing w:line="560" w:lineRule="exact"/>
        <w:ind w:firstLine="643" w:firstLineChars="200"/>
        <w:jc w:val="left"/>
        <w:rPr>
          <w:rFonts w:hint="eastAsia" w:ascii="宋体" w:hAnsi="宋体" w:eastAsia="宋体" w:cs="宋体"/>
          <w:b/>
          <w:bCs w:val="0"/>
          <w:sz w:val="32"/>
          <w:szCs w:val="32"/>
        </w:rPr>
      </w:pPr>
      <w:r>
        <w:rPr>
          <w:rFonts w:hint="eastAsia" w:ascii="宋体" w:hAnsi="宋体" w:eastAsia="宋体" w:cs="宋体"/>
          <w:b/>
          <w:bCs w:val="0"/>
          <w:sz w:val="32"/>
          <w:szCs w:val="32"/>
        </w:rPr>
        <w:t>二、绩效评价工作开展情况</w:t>
      </w:r>
    </w:p>
    <w:p w14:paraId="41F1F0D5">
      <w:pPr>
        <w:spacing w:line="560" w:lineRule="exact"/>
        <w:ind w:firstLine="640" w:firstLineChars="200"/>
        <w:jc w:val="left"/>
        <w:rPr>
          <w:rFonts w:hint="eastAsia" w:ascii="仿宋_GB2312" w:eastAsia="仿宋_GB2312"/>
          <w:sz w:val="32"/>
          <w:szCs w:val="32"/>
          <w:lang w:eastAsia="zh-CN"/>
        </w:rPr>
      </w:pPr>
      <w:r>
        <w:rPr>
          <w:rFonts w:hint="eastAsia" w:ascii="仿宋_GB2312" w:eastAsia="仿宋_GB2312"/>
          <w:sz w:val="32"/>
          <w:szCs w:val="32"/>
          <w:lang w:eastAsia="zh-CN"/>
        </w:rPr>
        <w:t>（一）绩效评价目的：为了确保全部预算资金在一定期限内达到预期的产出和效果。绩效评价对象：体育彩票销售奖励。绩效评价范围：预期产出指标，包括数量、质量、时效和成本等；预期绩效：包括经济效益、社会效益、生态效益、可持续影响、社会公众和服务对象满意度等。</w:t>
      </w:r>
    </w:p>
    <w:p w14:paraId="1F3DA8F5">
      <w:pPr>
        <w:spacing w:line="560" w:lineRule="exact"/>
        <w:ind w:firstLine="640" w:firstLineChars="200"/>
        <w:jc w:val="left"/>
        <w:rPr>
          <w:rFonts w:hint="eastAsia" w:ascii="仿宋_GB2312" w:eastAsia="仿宋_GB2312"/>
          <w:sz w:val="32"/>
          <w:szCs w:val="32"/>
          <w:lang w:eastAsia="zh-CN"/>
        </w:rPr>
      </w:pPr>
      <w:r>
        <w:rPr>
          <w:rFonts w:hint="eastAsia" w:ascii="仿宋_GB2312" w:eastAsia="仿宋_GB2312"/>
          <w:sz w:val="32"/>
          <w:szCs w:val="32"/>
          <w:lang w:eastAsia="zh-CN"/>
        </w:rPr>
        <w:t>（二）绩效评价原则、评价指标体系（附表说明）、评价方法、评价标准等。</w:t>
      </w:r>
    </w:p>
    <w:p w14:paraId="1D1FC813">
      <w:pPr>
        <w:spacing w:line="560" w:lineRule="exact"/>
        <w:ind w:firstLine="640" w:firstLineChars="200"/>
        <w:jc w:val="left"/>
        <w:rPr>
          <w:rFonts w:hint="eastAsia" w:ascii="仿宋_GB2312" w:eastAsia="仿宋_GB2312"/>
          <w:sz w:val="32"/>
          <w:szCs w:val="32"/>
          <w:lang w:eastAsia="zh-CN"/>
        </w:rPr>
      </w:pPr>
      <w:r>
        <w:rPr>
          <w:rFonts w:hint="eastAsia" w:ascii="仿宋_GB2312" w:eastAsia="仿宋_GB2312"/>
          <w:sz w:val="32"/>
          <w:szCs w:val="32"/>
          <w:lang w:eastAsia="zh-CN"/>
        </w:rPr>
        <w:t>本次绩效评价采用自评的方式，遵循客观公正、公开透明的原则，以材料核查、访谈、座谈、问卷调查、选点抽查为基础，综合运用对比分析等方法，从决策、管理、产出、效益四个方面对项目资金的使用管理、综合效益等内容进行评价（评价指标体系详见附表）。绩效评价等级设置为优秀、良好、较差、差四级，其中，大于或等于90分的为优、80分（含）至90分的为良、60分（含）至80分的为中、小于60分的为差。</w:t>
      </w:r>
    </w:p>
    <w:p w14:paraId="11C9A81C">
      <w:pPr>
        <w:bidi w:val="0"/>
        <w:rPr>
          <w:rFonts w:hint="eastAsia"/>
          <w:lang w:eastAsia="zh-CN"/>
        </w:rPr>
      </w:pPr>
      <w:r>
        <w:rPr>
          <w:rFonts w:hint="eastAsia" w:ascii="仿宋_GB2312" w:eastAsia="仿宋_GB2312"/>
          <w:sz w:val="32"/>
          <w:szCs w:val="32"/>
          <w:lang w:eastAsia="zh-CN"/>
        </w:rPr>
        <w:t>（三）绩效评价工作过程。</w:t>
      </w:r>
    </w:p>
    <w:p w14:paraId="44102655">
      <w:pPr>
        <w:spacing w:line="560" w:lineRule="exact"/>
        <w:ind w:firstLine="640" w:firstLineChars="200"/>
        <w:jc w:val="left"/>
        <w:rPr>
          <w:rFonts w:hint="eastAsia" w:ascii="仿宋_GB2312" w:eastAsia="仿宋_GB2312"/>
          <w:sz w:val="32"/>
          <w:szCs w:val="32"/>
          <w:lang w:eastAsia="zh-CN"/>
        </w:rPr>
      </w:pPr>
      <w:r>
        <w:rPr>
          <w:rFonts w:hint="eastAsia" w:ascii="仿宋_GB2312" w:eastAsia="仿宋_GB2312"/>
          <w:sz w:val="32"/>
          <w:szCs w:val="32"/>
          <w:lang w:eastAsia="zh-CN"/>
        </w:rPr>
        <w:t>根据《湖南省预算支出绩效评价管理办法》（湘财绩〔2020〕7号）和《新晃侗族自治县财政局关于开展202</w:t>
      </w:r>
      <w:r>
        <w:rPr>
          <w:rFonts w:hint="eastAsia" w:ascii="仿宋_GB2312" w:eastAsia="仿宋_GB2312"/>
          <w:sz w:val="32"/>
          <w:szCs w:val="32"/>
          <w:lang w:val="en-US" w:eastAsia="zh-CN"/>
        </w:rPr>
        <w:t>3</w:t>
      </w:r>
      <w:r>
        <w:rPr>
          <w:rFonts w:hint="eastAsia" w:ascii="仿宋_GB2312" w:eastAsia="仿宋_GB2312"/>
          <w:sz w:val="32"/>
          <w:szCs w:val="32"/>
          <w:lang w:eastAsia="zh-CN"/>
        </w:rPr>
        <w:t>年度部门预算支出绩效自评工作的通知》（晃财绩〔202</w:t>
      </w:r>
      <w:r>
        <w:rPr>
          <w:rFonts w:hint="eastAsia" w:ascii="仿宋_GB2312" w:eastAsia="仿宋_GB2312"/>
          <w:sz w:val="32"/>
          <w:szCs w:val="32"/>
          <w:lang w:val="en-US" w:eastAsia="zh-CN"/>
        </w:rPr>
        <w:t>4</w:t>
      </w:r>
      <w:r>
        <w:rPr>
          <w:rFonts w:hint="eastAsia" w:ascii="仿宋_GB2312" w:eastAsia="仿宋_GB2312"/>
          <w:sz w:val="32"/>
          <w:szCs w:val="32"/>
          <w:lang w:eastAsia="zh-CN"/>
        </w:rPr>
        <w:t>〕2号）等文件要求，我单位成立了绩效自评工作小组，对地方公共文化服务体系建设及奖补资金的项目项目支出开展了绩效自评工作。组织人员收集项目资料，检查会计凭证，在规定的时间内，对项目的实施过程进行了全面、科学、细致的评价。</w:t>
      </w:r>
      <w:r>
        <w:rPr>
          <w:rFonts w:hint="eastAsia" w:ascii="仿宋_GB2312" w:eastAsia="仿宋_GB2312"/>
          <w:sz w:val="32"/>
          <w:szCs w:val="32"/>
          <w:lang w:val="en-US" w:eastAsia="zh-CN"/>
        </w:rPr>
        <w:t xml:space="preserve"> </w:t>
      </w:r>
    </w:p>
    <w:p w14:paraId="7D2BDFC3">
      <w:pPr>
        <w:numPr>
          <w:ilvl w:val="0"/>
          <w:numId w:val="0"/>
        </w:numPr>
        <w:spacing w:line="560" w:lineRule="exact"/>
        <w:ind w:left="0" w:leftChars="0" w:firstLine="643" w:firstLineChars="200"/>
        <w:jc w:val="left"/>
        <w:rPr>
          <w:rFonts w:hint="eastAsia" w:ascii="仿宋_GB2312" w:hAnsi="仿宋_GB2312" w:eastAsia="仿宋_GB2312" w:cs="仿宋_GB2312"/>
          <w:bCs/>
          <w:sz w:val="32"/>
          <w:szCs w:val="32"/>
        </w:rPr>
      </w:pPr>
      <w:r>
        <w:rPr>
          <w:rFonts w:hint="eastAsia" w:ascii="宋体" w:hAnsi="宋体" w:eastAsia="宋体" w:cs="宋体"/>
          <w:b/>
          <w:bCs/>
          <w:sz w:val="32"/>
          <w:szCs w:val="32"/>
          <w:lang w:val="en-US" w:eastAsia="zh-CN" w:bidi="ar-SA"/>
        </w:rPr>
        <w:t>三</w:t>
      </w:r>
      <w:r>
        <w:rPr>
          <w:rFonts w:hint="eastAsia" w:ascii="仿宋_GB2312" w:hAnsi="仿宋_GB2312" w:eastAsia="仿宋_GB2312" w:cs="仿宋_GB2312"/>
          <w:b/>
          <w:bCs/>
          <w:sz w:val="32"/>
          <w:szCs w:val="32"/>
          <w:lang w:val="en-US" w:eastAsia="zh-CN" w:bidi="ar-SA"/>
        </w:rPr>
        <w:t>、</w:t>
      </w:r>
      <w:r>
        <w:rPr>
          <w:rFonts w:hint="eastAsia" w:ascii="宋体" w:hAnsi="宋体" w:eastAsia="宋体" w:cs="宋体"/>
          <w:b/>
          <w:bCs/>
          <w:sz w:val="32"/>
          <w:szCs w:val="32"/>
        </w:rPr>
        <w:t>综合评价情况及评价结论</w:t>
      </w:r>
      <w:r>
        <w:rPr>
          <w:rFonts w:hint="eastAsia" w:ascii="仿宋_GB2312" w:hAnsi="仿宋_GB2312" w:eastAsia="仿宋_GB2312" w:cs="仿宋_GB2312"/>
          <w:bCs/>
          <w:sz w:val="32"/>
          <w:szCs w:val="32"/>
        </w:rPr>
        <w:t>（附相关评分表）</w:t>
      </w:r>
    </w:p>
    <w:p w14:paraId="24493542">
      <w:pPr>
        <w:bidi w:val="0"/>
        <w:rPr>
          <w:rFonts w:hint="default"/>
          <w:lang w:val="en-US" w:eastAsia="zh-CN"/>
        </w:rPr>
      </w:pPr>
      <w:r>
        <w:rPr>
          <w:rFonts w:hint="eastAsia" w:ascii="仿宋_GB2312" w:eastAsia="仿宋_GB2312"/>
          <w:sz w:val="32"/>
          <w:szCs w:val="32"/>
          <w:lang w:val="en-US" w:eastAsia="zh-CN"/>
        </w:rPr>
        <w:t xml:space="preserve">按照《2023年度新晃县文化旅游广电体育局整体支出绩效自评表》，评价工作组对新晃县文化旅游广电体育局2023年度地方公共文化服务体系建设及奖补资金项目进行评价的评分分值为96分，评价结论为优秀。 </w:t>
      </w:r>
      <w:r>
        <w:rPr>
          <w:rFonts w:hint="eastAsia"/>
          <w:lang w:val="en-US" w:eastAsia="zh-CN"/>
        </w:rPr>
        <w:t xml:space="preserve"> </w:t>
      </w:r>
    </w:p>
    <w:p w14:paraId="51AC9DDC">
      <w:pPr>
        <w:numPr>
          <w:ilvl w:val="0"/>
          <w:numId w:val="0"/>
        </w:numPr>
        <w:spacing w:line="560" w:lineRule="exact"/>
        <w:ind w:left="0" w:leftChars="0" w:firstLine="643" w:firstLineChars="200"/>
        <w:jc w:val="left"/>
        <w:rPr>
          <w:rFonts w:hint="eastAsia" w:ascii="宋体" w:hAnsi="宋体" w:eastAsia="宋体" w:cs="宋体"/>
          <w:b/>
          <w:bCs w:val="0"/>
          <w:sz w:val="32"/>
          <w:szCs w:val="32"/>
        </w:rPr>
      </w:pPr>
      <w:r>
        <w:rPr>
          <w:rFonts w:hint="eastAsia" w:ascii="宋体" w:hAnsi="宋体" w:eastAsia="宋体" w:cs="宋体"/>
          <w:b/>
          <w:bCs/>
          <w:sz w:val="32"/>
          <w:szCs w:val="32"/>
          <w:lang w:val="en-US" w:eastAsia="zh-CN" w:bidi="ar-SA"/>
        </w:rPr>
        <w:t>四、</w:t>
      </w:r>
      <w:r>
        <w:rPr>
          <w:rFonts w:hint="eastAsia" w:ascii="宋体" w:hAnsi="宋体" w:eastAsia="宋体" w:cs="宋体"/>
          <w:b/>
          <w:bCs w:val="0"/>
          <w:sz w:val="32"/>
          <w:szCs w:val="32"/>
        </w:rPr>
        <w:t>绩效评价指标分析</w:t>
      </w:r>
    </w:p>
    <w:p w14:paraId="41324284">
      <w:pPr>
        <w:spacing w:line="560" w:lineRule="exact"/>
        <w:ind w:firstLine="640" w:firstLineChars="200"/>
        <w:jc w:val="left"/>
        <w:rPr>
          <w:rFonts w:hint="eastAsia" w:ascii="仿宋_GB2312" w:eastAsia="仿宋_GB2312"/>
          <w:sz w:val="32"/>
          <w:szCs w:val="32"/>
          <w:lang w:val="en-US" w:eastAsia="zh-CN"/>
        </w:rPr>
      </w:pPr>
      <w:r>
        <w:rPr>
          <w:rFonts w:hint="eastAsia" w:ascii="仿宋_GB2312" w:eastAsia="仿宋_GB2312"/>
          <w:sz w:val="32"/>
          <w:szCs w:val="32"/>
          <w:lang w:val="en-US" w:eastAsia="zh-CN"/>
        </w:rPr>
        <w:t>（一）项目决策情况。</w:t>
      </w:r>
    </w:p>
    <w:p w14:paraId="3DFCF06D">
      <w:pPr>
        <w:spacing w:line="560" w:lineRule="exact"/>
        <w:ind w:firstLine="640" w:firstLineChars="200"/>
        <w:jc w:val="left"/>
        <w:rPr>
          <w:rFonts w:hint="default" w:ascii="仿宋_GB2312" w:eastAsia="仿宋_GB2312"/>
          <w:sz w:val="32"/>
          <w:szCs w:val="32"/>
          <w:lang w:val="en-US" w:eastAsia="zh-CN"/>
        </w:rPr>
      </w:pPr>
      <w:r>
        <w:rPr>
          <w:rFonts w:hint="eastAsia" w:ascii="仿宋_GB2312" w:eastAsia="仿宋_GB2312"/>
          <w:sz w:val="32"/>
          <w:szCs w:val="32"/>
          <w:lang w:val="en-US" w:eastAsia="zh-CN"/>
        </w:rPr>
        <w:t>1、确定项目决策的范畴：根据项目的阶段和内容，确定哪些方面的决策需要被记录和总结，包括目标、资源、进度、风险等方面。</w:t>
      </w:r>
      <w:r>
        <w:rPr>
          <w:rFonts w:hint="eastAsia" w:ascii="仿宋_GB2312" w:eastAsia="仿宋_GB2312"/>
          <w:sz w:val="32"/>
          <w:szCs w:val="32"/>
          <w:lang w:val="en-US" w:eastAsia="zh-CN"/>
        </w:rPr>
        <w:br w:type="textWrapping"/>
      </w:r>
      <w:r>
        <w:rPr>
          <w:rFonts w:hint="eastAsia" w:ascii="仿宋_GB2312" w:eastAsia="仿宋_GB2312"/>
          <w:sz w:val="32"/>
          <w:szCs w:val="32"/>
          <w:lang w:val="en-US" w:eastAsia="zh-CN"/>
        </w:rPr>
        <w:t xml:space="preserve">    2、梳理并整理决策信息：收集和整理涉及到的各种决策信息，包括决策的时间、主要内容、影响因素和决策结果等方面。</w:t>
      </w:r>
      <w:r>
        <w:rPr>
          <w:rFonts w:hint="eastAsia" w:ascii="仿宋_GB2312" w:eastAsia="仿宋_GB2312"/>
          <w:sz w:val="32"/>
          <w:szCs w:val="32"/>
          <w:lang w:val="en-US" w:eastAsia="zh-CN"/>
        </w:rPr>
        <w:br w:type="textWrapping"/>
      </w:r>
      <w:r>
        <w:rPr>
          <w:rFonts w:hint="eastAsia" w:ascii="仿宋_GB2312" w:eastAsia="仿宋_GB2312"/>
          <w:sz w:val="32"/>
          <w:szCs w:val="32"/>
          <w:lang w:val="en-US" w:eastAsia="zh-CN"/>
        </w:rPr>
        <w:t xml:space="preserve">    3、分析和评价决策效果：对每一项决策进行分析和评价，考察其是否符合预期目标，产生积极的效果，以及存在的问题和不足之处等。</w:t>
      </w:r>
    </w:p>
    <w:p w14:paraId="1CD438D2">
      <w:pPr>
        <w:spacing w:line="560" w:lineRule="exact"/>
        <w:ind w:firstLine="640" w:firstLineChars="200"/>
        <w:jc w:val="left"/>
        <w:rPr>
          <w:rFonts w:hint="eastAsia" w:ascii="仿宋_GB2312" w:eastAsia="仿宋_GB2312"/>
          <w:sz w:val="32"/>
          <w:szCs w:val="32"/>
          <w:lang w:eastAsia="zh-CN"/>
        </w:rPr>
      </w:pPr>
      <w:r>
        <w:rPr>
          <w:rFonts w:hint="eastAsia" w:ascii="仿宋_GB2312" w:eastAsia="仿宋_GB2312"/>
          <w:sz w:val="32"/>
          <w:szCs w:val="32"/>
          <w:lang w:eastAsia="zh-CN"/>
        </w:rPr>
        <w:t>（二）项目过程情况。</w:t>
      </w:r>
    </w:p>
    <w:p w14:paraId="69EA8FF2">
      <w:pPr>
        <w:spacing w:line="560" w:lineRule="exact"/>
        <w:ind w:firstLine="640" w:firstLineChars="200"/>
        <w:jc w:val="left"/>
        <w:rPr>
          <w:rFonts w:hint="eastAsia" w:ascii="仿宋_GB2312" w:eastAsia="仿宋_GB2312"/>
          <w:sz w:val="32"/>
          <w:szCs w:val="32"/>
          <w:lang w:val="en-US" w:eastAsia="zh-CN"/>
        </w:rPr>
      </w:pPr>
      <w:r>
        <w:rPr>
          <w:rFonts w:hint="eastAsia" w:ascii="仿宋_GB2312" w:eastAsia="仿宋_GB2312"/>
          <w:sz w:val="32"/>
          <w:szCs w:val="32"/>
          <w:lang w:val="en-US" w:eastAsia="zh-CN"/>
        </w:rPr>
        <w:t>严格执行项目活动申报、审核、拨付、管理等全过程，实行了全面负责。</w:t>
      </w:r>
    </w:p>
    <w:p w14:paraId="541016DE">
      <w:pPr>
        <w:spacing w:line="560" w:lineRule="exact"/>
        <w:ind w:firstLine="640" w:firstLineChars="200"/>
        <w:jc w:val="left"/>
        <w:rPr>
          <w:rFonts w:hint="eastAsia" w:ascii="仿宋_GB2312" w:eastAsia="仿宋_GB2312"/>
          <w:sz w:val="32"/>
          <w:szCs w:val="32"/>
          <w:lang w:eastAsia="zh-CN"/>
        </w:rPr>
      </w:pPr>
      <w:r>
        <w:rPr>
          <w:rFonts w:hint="eastAsia" w:ascii="仿宋_GB2312" w:eastAsia="仿宋_GB2312"/>
          <w:sz w:val="32"/>
          <w:szCs w:val="32"/>
          <w:lang w:val="en-US" w:eastAsia="zh-CN"/>
        </w:rPr>
        <w:t>（三）</w:t>
      </w:r>
      <w:r>
        <w:rPr>
          <w:rFonts w:hint="eastAsia" w:ascii="仿宋_GB2312" w:eastAsia="仿宋_GB2312"/>
          <w:sz w:val="32"/>
          <w:szCs w:val="32"/>
          <w:lang w:eastAsia="zh-CN"/>
        </w:rPr>
        <w:t>项目产出情况。</w:t>
      </w:r>
    </w:p>
    <w:p w14:paraId="2CBACD90">
      <w:pPr>
        <w:spacing w:line="560" w:lineRule="exact"/>
        <w:ind w:firstLine="640" w:firstLineChars="200"/>
        <w:jc w:val="left"/>
        <w:rPr>
          <w:rFonts w:hint="eastAsia" w:ascii="仿宋_GB2312" w:eastAsia="仿宋_GB2312"/>
          <w:sz w:val="32"/>
          <w:szCs w:val="32"/>
          <w:lang w:val="en-US" w:eastAsia="zh-CN"/>
        </w:rPr>
      </w:pPr>
      <w:r>
        <w:rPr>
          <w:rFonts w:hint="eastAsia" w:ascii="仿宋_GB2312" w:eastAsia="仿宋_GB2312"/>
          <w:sz w:val="32"/>
          <w:szCs w:val="32"/>
          <w:lang w:val="en-US" w:eastAsia="zh-CN"/>
        </w:rPr>
        <w:t>2023年12月底共完成174场，覆盖全县11个乡镇138个村，共174场，完成了送戏下乡任务；其中138场，每场5000元，小计69万；36场，每场4000元，小计14.4万，合计83.4万。</w:t>
      </w:r>
    </w:p>
    <w:p w14:paraId="31140AB7">
      <w:pPr>
        <w:spacing w:line="560" w:lineRule="exact"/>
        <w:ind w:firstLine="640" w:firstLineChars="200"/>
        <w:jc w:val="left"/>
        <w:rPr>
          <w:rFonts w:hint="eastAsia" w:ascii="仿宋_GB2312" w:eastAsia="仿宋_GB2312"/>
          <w:sz w:val="32"/>
          <w:szCs w:val="32"/>
          <w:lang w:val="en-US" w:eastAsia="zh-CN"/>
        </w:rPr>
      </w:pPr>
      <w:r>
        <w:rPr>
          <w:rFonts w:hint="eastAsia" w:ascii="仿宋_GB2312" w:eastAsia="仿宋_GB2312"/>
          <w:sz w:val="32"/>
          <w:szCs w:val="32"/>
          <w:lang w:val="en-US" w:eastAsia="zh-CN"/>
        </w:rPr>
        <w:t>（四）项目效益情况。</w:t>
      </w:r>
    </w:p>
    <w:p w14:paraId="0EB596FE">
      <w:pPr>
        <w:spacing w:line="560" w:lineRule="exact"/>
        <w:ind w:firstLine="640" w:firstLineChars="200"/>
        <w:jc w:val="left"/>
        <w:rPr>
          <w:rFonts w:hint="eastAsia" w:ascii="仿宋_GB2312" w:eastAsia="仿宋_GB2312"/>
          <w:sz w:val="32"/>
          <w:szCs w:val="32"/>
          <w:lang w:val="en-US" w:eastAsia="zh-CN"/>
        </w:rPr>
      </w:pPr>
      <w:r>
        <w:rPr>
          <w:rFonts w:hint="eastAsia" w:ascii="仿宋_GB2312" w:eastAsia="仿宋_GB2312"/>
          <w:sz w:val="32"/>
          <w:szCs w:val="32"/>
          <w:lang w:val="en-US" w:eastAsia="zh-CN"/>
        </w:rPr>
        <w:t>经济效益：发挥文化扶贫扶志扶智作用，把红色民族歌舞剧《深夜静悄悄》（即：《侗寨军民情》）及反映二十大精神、乡村振兴等主题，群众喜闻乐见的综合性节目带到最艰苦的地方演出，多送戏、送好戏，传播先进思想和观念，提升脱贫攻坚和乡村振兴的信心和斗志，调动脱贫群众为乡村振兴继续奋斗的积极性，变“外援性”扶贫为“内生性”扶贫，激发群众乡村振兴的内生动力，为国家乡村振兴战略的成功实施提供精神动力。</w:t>
      </w:r>
    </w:p>
    <w:p w14:paraId="20E8826C">
      <w:pPr>
        <w:spacing w:line="560" w:lineRule="exact"/>
        <w:ind w:firstLine="640" w:firstLineChars="200"/>
        <w:jc w:val="left"/>
        <w:rPr>
          <w:rFonts w:hint="eastAsia" w:ascii="仿宋_GB2312" w:eastAsia="仿宋_GB2312"/>
          <w:sz w:val="32"/>
          <w:szCs w:val="32"/>
          <w:lang w:val="en-US" w:eastAsia="zh-CN"/>
        </w:rPr>
      </w:pPr>
      <w:r>
        <w:rPr>
          <w:rFonts w:hint="eastAsia" w:ascii="仿宋_GB2312" w:eastAsia="仿宋_GB2312"/>
          <w:sz w:val="32"/>
          <w:szCs w:val="32"/>
          <w:lang w:val="en-US" w:eastAsia="zh-CN"/>
        </w:rPr>
        <w:t>社会效益：有利于推动城乡公共文化服务均等化，润养乡村文化生态。公共文化服务是人民政府的一项重要职能，实行送戏下乡，有效推动基本公共文化服务均等化，有利于保障农村居民基本文化权益，有利于促进社会公平，我县送戏下乡覆盖全县各乡镇，原23个乡镇，137个行政村、社区、学校等，极大地丰富了乡村的文化供给，对乡村文化的振兴起着重要作用，满足了基层群众精神文化需求。</w:t>
      </w:r>
    </w:p>
    <w:p w14:paraId="5C4F4BD9">
      <w:pPr>
        <w:spacing w:line="560" w:lineRule="exact"/>
        <w:ind w:firstLine="640" w:firstLineChars="200"/>
        <w:jc w:val="left"/>
        <w:rPr>
          <w:rFonts w:hint="eastAsia" w:ascii="仿宋_GB2312" w:eastAsia="仿宋_GB2312"/>
          <w:sz w:val="32"/>
          <w:szCs w:val="32"/>
          <w:lang w:val="en-US" w:eastAsia="zh-CN"/>
        </w:rPr>
      </w:pPr>
      <w:r>
        <w:rPr>
          <w:rFonts w:hint="eastAsia" w:ascii="仿宋_GB2312" w:eastAsia="仿宋_GB2312"/>
          <w:sz w:val="32"/>
          <w:szCs w:val="32"/>
          <w:lang w:val="en-US" w:eastAsia="zh-CN"/>
        </w:rPr>
        <w:t>环境效益：优质文化送到了基层百姓家门口，实现了群众多看戏、看好戏的目的，使老百姓真切地感受到党和政府的关怀，“送戏下乡”已成为深入人心的惠民文化品牌。</w:t>
      </w:r>
    </w:p>
    <w:p w14:paraId="6F10FA7C">
      <w:pPr>
        <w:spacing w:line="560" w:lineRule="exact"/>
        <w:ind w:firstLine="640" w:firstLineChars="200"/>
        <w:jc w:val="left"/>
        <w:rPr>
          <w:rFonts w:hint="eastAsia" w:ascii="仿宋_GB2312" w:eastAsia="仿宋_GB2312"/>
          <w:sz w:val="32"/>
          <w:szCs w:val="32"/>
          <w:lang w:val="en-US" w:eastAsia="zh-CN"/>
        </w:rPr>
      </w:pPr>
      <w:r>
        <w:rPr>
          <w:rFonts w:hint="eastAsia" w:ascii="仿宋_GB2312" w:eastAsia="仿宋_GB2312"/>
          <w:sz w:val="32"/>
          <w:szCs w:val="32"/>
          <w:lang w:val="en-US" w:eastAsia="zh-CN"/>
        </w:rPr>
        <w:t>可持续影响：送戏下乡持续开展，有利于培育和弘扬社会主义核心价值观，丰富乡村文化的时代内涵。随着农村物质生活条件大幅改善，农村群众的精神文化需求也在不断增长。严把剧目关是弘扬社会主义核心价值观的根本保障。大型红色民族歌剧《深夜静悄悄》、《祖国颂》、独唱《唱支山歌给党听》、傩戏《过五关古城会》选段、音乐快板《二十大精神放光芒》、小品《新农村》、歌舞《家乡美》等剧目在乡村演出，不仅弘扬了社会主义核心价值观，传承了中华优秀民族特色传统文化，唱响了主旋律，激发了正能量，更巩固了农村文化阵地。通过惠民演出激活了演出市场，更激发了文艺院团创作和演出活力，对剧目进行打磨，为我县文艺事业增添精品。</w:t>
      </w:r>
    </w:p>
    <w:p w14:paraId="1AF62C4A">
      <w:pPr>
        <w:spacing w:line="560" w:lineRule="exact"/>
        <w:ind w:firstLine="640" w:firstLineChars="200"/>
        <w:jc w:val="left"/>
        <w:rPr>
          <w:rFonts w:hint="eastAsia"/>
          <w:lang w:val="en-US" w:eastAsia="zh-CN"/>
        </w:rPr>
      </w:pPr>
      <w:r>
        <w:rPr>
          <w:rFonts w:hint="eastAsia" w:ascii="仿宋_GB2312" w:eastAsia="仿宋_GB2312"/>
          <w:sz w:val="32"/>
          <w:szCs w:val="32"/>
          <w:lang w:val="en-US" w:eastAsia="zh-CN"/>
        </w:rPr>
        <w:t>服务对象满意度：送戏下乡，让老百姓从中感受了党和政府的温暖和关怀、激发了践行二十大的精神伟力、汲取了助力乡村振兴的前进动力，受到了老百姓的普遍欢迎和好评。</w:t>
      </w:r>
    </w:p>
    <w:p w14:paraId="3B0430CF">
      <w:pPr>
        <w:numPr>
          <w:ilvl w:val="0"/>
          <w:numId w:val="0"/>
        </w:numPr>
        <w:tabs>
          <w:tab w:val="left" w:pos="329"/>
        </w:tabs>
        <w:spacing w:line="560" w:lineRule="exact"/>
        <w:ind w:left="0" w:leftChars="0" w:firstLine="643" w:firstLineChars="200"/>
        <w:jc w:val="both"/>
        <w:rPr>
          <w:rFonts w:hint="eastAsia" w:ascii="宋体" w:hAnsi="宋体" w:eastAsia="宋体" w:cs="宋体"/>
          <w:b/>
          <w:bCs w:val="0"/>
          <w:sz w:val="32"/>
          <w:szCs w:val="32"/>
        </w:rPr>
      </w:pPr>
      <w:r>
        <w:rPr>
          <w:rFonts w:hint="eastAsia" w:ascii="宋体" w:hAnsi="宋体" w:eastAsia="宋体" w:cs="宋体"/>
          <w:b/>
          <w:bCs/>
          <w:sz w:val="32"/>
          <w:szCs w:val="32"/>
          <w:lang w:val="en-US" w:eastAsia="zh-CN" w:bidi="ar-SA"/>
        </w:rPr>
        <w:t>五、</w:t>
      </w:r>
      <w:r>
        <w:rPr>
          <w:rFonts w:hint="eastAsia" w:ascii="宋体" w:hAnsi="宋体" w:eastAsia="宋体" w:cs="宋体"/>
          <w:b/>
          <w:bCs w:val="0"/>
          <w:sz w:val="32"/>
          <w:szCs w:val="32"/>
        </w:rPr>
        <w:t>主要经验及做法、存在的问题及原因分析</w:t>
      </w:r>
    </w:p>
    <w:p w14:paraId="20FBF62B">
      <w:pPr>
        <w:spacing w:line="560" w:lineRule="exact"/>
        <w:ind w:firstLine="640" w:firstLineChars="200"/>
        <w:jc w:val="left"/>
        <w:rPr>
          <w:rFonts w:hint="eastAsia" w:ascii="仿宋_GB2312" w:eastAsia="仿宋_GB2312"/>
          <w:sz w:val="32"/>
          <w:szCs w:val="32"/>
          <w:lang w:val="en-US" w:eastAsia="zh-CN"/>
        </w:rPr>
      </w:pPr>
      <w:r>
        <w:rPr>
          <w:rFonts w:hint="eastAsia" w:ascii="仿宋_GB2312" w:eastAsia="仿宋_GB2312"/>
          <w:sz w:val="32"/>
          <w:szCs w:val="32"/>
          <w:lang w:val="en-US" w:eastAsia="zh-CN"/>
        </w:rPr>
        <w:t>无</w:t>
      </w:r>
    </w:p>
    <w:p w14:paraId="32F00D6E">
      <w:pPr>
        <w:numPr>
          <w:ilvl w:val="0"/>
          <w:numId w:val="0"/>
        </w:numPr>
        <w:spacing w:line="560" w:lineRule="exact"/>
        <w:ind w:left="0" w:leftChars="0" w:firstLine="643" w:firstLineChars="200"/>
        <w:jc w:val="left"/>
        <w:rPr>
          <w:rFonts w:hint="eastAsia" w:ascii="宋体" w:hAnsi="宋体" w:eastAsia="宋体" w:cs="宋体"/>
          <w:b/>
          <w:bCs w:val="0"/>
          <w:sz w:val="32"/>
          <w:szCs w:val="32"/>
        </w:rPr>
      </w:pPr>
      <w:r>
        <w:rPr>
          <w:rFonts w:hint="eastAsia" w:ascii="宋体" w:hAnsi="宋体" w:eastAsia="宋体" w:cs="宋体"/>
          <w:b/>
          <w:bCs/>
          <w:sz w:val="32"/>
          <w:szCs w:val="32"/>
          <w:lang w:val="en-US" w:eastAsia="zh-CN" w:bidi="ar-SA"/>
        </w:rPr>
        <w:t>六、</w:t>
      </w:r>
      <w:r>
        <w:rPr>
          <w:rFonts w:hint="eastAsia" w:ascii="宋体" w:hAnsi="宋体" w:eastAsia="宋体" w:cs="宋体"/>
          <w:b/>
          <w:bCs w:val="0"/>
          <w:sz w:val="32"/>
          <w:szCs w:val="32"/>
        </w:rPr>
        <w:t>有关建议</w:t>
      </w:r>
    </w:p>
    <w:p w14:paraId="3880B3A0">
      <w:pPr>
        <w:spacing w:line="560" w:lineRule="exact"/>
        <w:ind w:firstLine="640" w:firstLineChars="200"/>
        <w:jc w:val="left"/>
        <w:rPr>
          <w:rFonts w:hint="eastAsia" w:ascii="仿宋_GB2312" w:eastAsia="仿宋_GB2312"/>
          <w:sz w:val="32"/>
          <w:szCs w:val="32"/>
          <w:lang w:eastAsia="zh-CN"/>
        </w:rPr>
      </w:pPr>
      <w:r>
        <w:rPr>
          <w:rFonts w:hint="eastAsia" w:ascii="仿宋_GB2312" w:eastAsia="仿宋_GB2312"/>
          <w:sz w:val="32"/>
          <w:szCs w:val="32"/>
          <w:lang w:val="en-US" w:eastAsia="zh-CN"/>
        </w:rPr>
        <w:t>无</w:t>
      </w:r>
    </w:p>
    <w:p w14:paraId="04D43C11">
      <w:pPr>
        <w:spacing w:line="560" w:lineRule="exact"/>
        <w:ind w:firstLine="643" w:firstLineChars="200"/>
        <w:jc w:val="left"/>
        <w:rPr>
          <w:rFonts w:hint="eastAsia" w:ascii="宋体" w:hAnsi="宋体" w:eastAsia="宋体" w:cs="宋体"/>
          <w:b/>
          <w:bCs w:val="0"/>
          <w:sz w:val="32"/>
          <w:szCs w:val="32"/>
        </w:rPr>
      </w:pPr>
      <w:r>
        <w:rPr>
          <w:rFonts w:hint="eastAsia" w:ascii="宋体" w:hAnsi="宋体" w:eastAsia="宋体" w:cs="宋体"/>
          <w:b/>
          <w:bCs w:val="0"/>
          <w:sz w:val="32"/>
          <w:szCs w:val="32"/>
        </w:rPr>
        <w:t>七、其他需要说明的问题</w:t>
      </w:r>
    </w:p>
    <w:p w14:paraId="68F0A171">
      <w:pPr>
        <w:spacing w:line="560" w:lineRule="exact"/>
        <w:ind w:firstLine="640" w:firstLineChars="200"/>
        <w:jc w:val="left"/>
        <w:rPr>
          <w:rFonts w:hint="eastAsia" w:ascii="仿宋_GB2312" w:eastAsia="仿宋_GB2312"/>
          <w:sz w:val="32"/>
          <w:szCs w:val="32"/>
          <w:lang w:val="en-US" w:eastAsia="zh-CN"/>
        </w:rPr>
      </w:pPr>
      <w:r>
        <w:rPr>
          <w:rFonts w:hint="eastAsia" w:ascii="仿宋_GB2312" w:eastAsia="仿宋_GB2312"/>
          <w:sz w:val="32"/>
          <w:szCs w:val="32"/>
          <w:lang w:val="en-US" w:eastAsia="zh-CN"/>
        </w:rPr>
        <w:t>无</w:t>
      </w:r>
    </w:p>
    <w:p w14:paraId="7DBC80EF">
      <w:pPr>
        <w:spacing w:line="240" w:lineRule="auto"/>
        <w:ind w:left="8960" w:hanging="8960" w:hangingChars="28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rPr>
        <w:t>新晃侗族自治县文化广电体育局</w:t>
      </w:r>
      <w:r>
        <w:rPr>
          <w:rFonts w:hint="eastAsia" w:ascii="仿宋_GB2312" w:hAnsi="仿宋_GB2312" w:eastAsia="仿宋_GB2312" w:cs="仿宋_GB2312"/>
          <w:sz w:val="32"/>
          <w:szCs w:val="32"/>
        </w:rPr>
        <w:t xml:space="preserve">                        </w:t>
      </w:r>
    </w:p>
    <w:p w14:paraId="61E9F835">
      <w:pPr>
        <w:spacing w:line="240" w:lineRule="auto"/>
        <w:ind w:firstLine="4800" w:firstLineChars="15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2024</w:t>
      </w:r>
      <w:r>
        <w:rPr>
          <w:rFonts w:hint="eastAsia" w:ascii="仿宋_GB2312" w:hAnsi="仿宋_GB2312" w:eastAsia="仿宋_GB2312" w:cs="仿宋_GB2312"/>
          <w:sz w:val="32"/>
          <w:szCs w:val="32"/>
        </w:rPr>
        <w:t xml:space="preserve">年 </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9</w:t>
      </w:r>
      <w:r>
        <w:rPr>
          <w:rFonts w:hint="eastAsia" w:ascii="仿宋_GB2312" w:hAnsi="仿宋_GB2312" w:eastAsia="仿宋_GB2312" w:cs="仿宋_GB2312"/>
          <w:sz w:val="32"/>
          <w:szCs w:val="32"/>
        </w:rPr>
        <w:t>日</w:t>
      </w:r>
    </w:p>
    <w:p w14:paraId="346D7996">
      <w:pPr>
        <w:ind w:firstLine="6080" w:firstLineChars="1900"/>
        <w:rPr>
          <w:rFonts w:hint="eastAsia" w:ascii="仿宋_GB2312" w:hAnsi="仿宋_GB2312" w:eastAsia="仿宋_GB2312" w:cs="仿宋_GB2312"/>
          <w:sz w:val="32"/>
          <w:szCs w:val="32"/>
        </w:rPr>
      </w:pPr>
    </w:p>
    <w:p w14:paraId="732B7656"/>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方正粗宋简体">
    <w:altName w:val="宋体"/>
    <w:panose1 w:val="03000509000000000000"/>
    <w:charset w:val="86"/>
    <w:family w:val="script"/>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00" w:lineRule="auto"/>
        <w:ind w:firstLine="560"/>
      </w:pPr>
      <w:r>
        <w:separator/>
      </w:r>
    </w:p>
  </w:footnote>
  <w:footnote w:type="continuationSeparator" w:id="1">
    <w:p>
      <w:pPr>
        <w:spacing w:line="300" w:lineRule="auto"/>
        <w:ind w:firstLine="56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7DB4800"/>
    <w:multiLevelType w:val="singleLevel"/>
    <w:tmpl w:val="37DB4800"/>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Q4OTVmMDU1OTE1MGY2MTI1NTk2MTNhNTc0ZmEyOWQifQ=="/>
  </w:docVars>
  <w:rsids>
    <w:rsidRoot w:val="430E62D4"/>
    <w:rsid w:val="00AA3D23"/>
    <w:rsid w:val="066B0CA1"/>
    <w:rsid w:val="0E3D754E"/>
    <w:rsid w:val="13704494"/>
    <w:rsid w:val="2991080F"/>
    <w:rsid w:val="39764C71"/>
    <w:rsid w:val="430E62D4"/>
    <w:rsid w:val="45D00913"/>
    <w:rsid w:val="54E62E4F"/>
    <w:rsid w:val="646B6339"/>
    <w:rsid w:val="737B45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300" w:lineRule="auto"/>
      <w:ind w:left="0" w:firstLine="482" w:firstLineChars="200"/>
      <w:jc w:val="both"/>
      <w:textAlignment w:val="bottom"/>
    </w:pPr>
    <w:rPr>
      <w:rFonts w:ascii="Times New Roman" w:hAnsi="Times New Roman" w:eastAsia="仿宋_GB2312" w:cs="Times New Roman"/>
      <w:sz w:val="28"/>
      <w:lang w:val="en-US" w:eastAsia="zh-CN" w:bidi="ar-SA"/>
    </w:rPr>
  </w:style>
  <w:style w:type="character" w:default="1" w:styleId="4">
    <w:name w:val="Default Paragraph Font"/>
    <w:autoRedefine/>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Normal (Web)"/>
    <w:basedOn w:val="1"/>
    <w:autoRedefine/>
    <w:qFormat/>
    <w:uiPriority w:val="0"/>
    <w:pPr>
      <w:widowControl/>
      <w:spacing w:before="100" w:beforeAutospacing="1" w:after="100" w:afterAutospacing="1" w:line="240" w:lineRule="auto"/>
      <w:ind w:left="0"/>
      <w:jc w:val="left"/>
      <w:textAlignment w:val="auto"/>
    </w:pPr>
    <w:rPr>
      <w:rFonts w:ascii="宋体" w:hAnsi="宋体" w:cs="宋体"/>
      <w:sz w:val="24"/>
      <w:szCs w:val="24"/>
    </w:rPr>
  </w:style>
  <w:style w:type="paragraph" w:customStyle="1" w:styleId="5">
    <w:name w:val="BodyText1I"/>
    <w:basedOn w:val="1"/>
    <w:autoRedefine/>
    <w:qFormat/>
    <w:uiPriority w:val="99"/>
    <w:pPr>
      <w:snapToGrid w:val="0"/>
      <w:spacing w:line="360" w:lineRule="auto"/>
      <w:ind w:firstLine="420" w:firstLineChars="100"/>
    </w:pPr>
    <w:rPr>
      <w:sz w:val="28"/>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5260</Words>
  <Characters>5581</Characters>
  <Lines>0</Lines>
  <Paragraphs>0</Paragraphs>
  <TotalTime>30</TotalTime>
  <ScaleCrop>false</ScaleCrop>
  <LinksUpToDate>false</LinksUpToDate>
  <CharactersWithSpaces>5762</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2024-04-08T07:42:00Z</dcterms:created>
  <dc:creator>Administrator</dc:creator>
  <cp:lastModifiedBy>WPS_1559710913</cp:lastModifiedBy>
  <cp:lastPrinted>2024-04-19T02:27:00Z</cp:lastPrinted>
  <dcterms:modified xsi:type="dcterms:W3CDTF">2024-07-22T02:46:50Z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C289B695325849A98A28813A35757255_13</vt:lpwstr>
  </property>
</Properties>
</file>