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附件1-2</w:t>
      </w:r>
    </w:p>
    <w:p>
      <w:pPr>
        <w:pStyle w:val="2"/>
        <w:widowControl w:val="0"/>
        <w:spacing w:before="0" w:beforeAutospacing="0" w:after="0" w:afterAutospacing="0" w:line="800" w:lineRule="exact"/>
        <w:jc w:val="center"/>
        <w:rPr>
          <w:rStyle w:val="5"/>
          <w:rFonts w:ascii="黑体" w:hAnsi="黑体" w:eastAsia="黑体" w:cs="Times New Roman"/>
          <w:b w:val="0"/>
          <w:spacing w:val="-23"/>
          <w:sz w:val="36"/>
          <w:szCs w:val="36"/>
        </w:rPr>
      </w:pPr>
      <w:r>
        <w:rPr>
          <w:rStyle w:val="5"/>
          <w:rFonts w:ascii="黑体" w:hAnsi="黑体" w:eastAsia="黑体" w:cs="Times New Roman"/>
          <w:b w:val="0"/>
          <w:spacing w:val="-23"/>
          <w:sz w:val="36"/>
          <w:szCs w:val="36"/>
        </w:rPr>
        <w:t>202</w:t>
      </w:r>
      <w:r>
        <w:rPr>
          <w:rStyle w:val="5"/>
          <w:rFonts w:hint="eastAsia" w:ascii="黑体" w:hAnsi="黑体" w:eastAsia="黑体" w:cs="Times New Roman"/>
          <w:b w:val="0"/>
          <w:spacing w:val="-23"/>
          <w:sz w:val="36"/>
          <w:szCs w:val="36"/>
          <w:lang w:val="en-US" w:eastAsia="zh-CN"/>
        </w:rPr>
        <w:t>3</w:t>
      </w:r>
      <w:r>
        <w:rPr>
          <w:rStyle w:val="5"/>
          <w:rFonts w:ascii="黑体" w:hAnsi="黑体" w:eastAsia="黑体" w:cs="Times New Roman"/>
          <w:b w:val="0"/>
          <w:spacing w:val="-23"/>
          <w:sz w:val="36"/>
          <w:szCs w:val="36"/>
        </w:rPr>
        <w:t>年度</w:t>
      </w:r>
      <w:r>
        <w:rPr>
          <w:rStyle w:val="5"/>
          <w:rFonts w:hint="eastAsia" w:ascii="黑体" w:hAnsi="黑体" w:eastAsia="黑体" w:cs="Times New Roman"/>
          <w:b w:val="0"/>
          <w:spacing w:val="-23"/>
          <w:sz w:val="36"/>
          <w:szCs w:val="36"/>
        </w:rPr>
        <w:t>新晃县</w:t>
      </w:r>
      <w:r>
        <w:rPr>
          <w:rStyle w:val="5"/>
          <w:rFonts w:hint="eastAsia" w:ascii="黑体" w:hAnsi="黑体" w:eastAsia="黑体" w:cs="Times New Roman"/>
          <w:b w:val="0"/>
          <w:spacing w:val="-23"/>
          <w:sz w:val="36"/>
          <w:szCs w:val="36"/>
          <w:lang w:val="en-US" w:eastAsia="zh-CN"/>
        </w:rPr>
        <w:t>文化旅游广电体育局</w:t>
      </w:r>
      <w:r>
        <w:rPr>
          <w:rStyle w:val="5"/>
          <w:rFonts w:ascii="黑体" w:hAnsi="黑体" w:eastAsia="黑体" w:cs="Times New Roman"/>
          <w:b w:val="0"/>
          <w:spacing w:val="-23"/>
          <w:sz w:val="36"/>
          <w:szCs w:val="36"/>
        </w:rPr>
        <w:t>整体支出绩效</w:t>
      </w:r>
    </w:p>
    <w:p>
      <w:pPr>
        <w:pStyle w:val="2"/>
        <w:widowControl w:val="0"/>
        <w:spacing w:before="0" w:beforeAutospacing="0" w:after="0" w:afterAutospacing="0" w:line="800" w:lineRule="exact"/>
        <w:jc w:val="center"/>
        <w:rPr>
          <w:rStyle w:val="5"/>
          <w:rFonts w:ascii="黑体" w:hAnsi="黑体" w:eastAsia="黑体" w:cs="Times New Roman"/>
          <w:b w:val="0"/>
          <w:spacing w:val="-23"/>
          <w:sz w:val="36"/>
          <w:szCs w:val="36"/>
        </w:rPr>
      </w:pPr>
      <w:r>
        <w:rPr>
          <w:rStyle w:val="5"/>
          <w:rFonts w:ascii="黑体" w:hAnsi="黑体" w:eastAsia="黑体" w:cs="Times New Roman"/>
          <w:b w:val="0"/>
          <w:spacing w:val="-23"/>
          <w:sz w:val="36"/>
          <w:szCs w:val="36"/>
        </w:rPr>
        <w:t>自评报告</w:t>
      </w:r>
    </w:p>
    <w:p>
      <w:pPr>
        <w:numPr>
          <w:ilvl w:val="0"/>
          <w:numId w:val="1"/>
        </w:numPr>
        <w:spacing w:before="240" w:line="560" w:lineRule="exact"/>
        <w:ind w:left="651" w:leftChars="0" w:firstLine="0" w:firstLineChars="0"/>
        <w:jc w:val="left"/>
        <w:rPr>
          <w:rFonts w:hint="eastAsia" w:ascii="黑体" w:hAnsi="黑体" w:eastAsia="黑体"/>
          <w:sz w:val="32"/>
          <w:szCs w:val="32"/>
        </w:rPr>
      </w:pPr>
      <w:r>
        <w:rPr>
          <w:rFonts w:hint="eastAsia" w:ascii="黑体" w:hAnsi="黑体" w:eastAsia="黑体"/>
          <w:sz w:val="32"/>
          <w:szCs w:val="32"/>
        </w:rPr>
        <w:t>部门（单位）基本概况</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eastAsia="zh-CN"/>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一)贯彻党和国家有关文化、旅游、广播电视、体育工作方针、政策和法律、法规，拟订全县文化、旅游、广播电视、体育事业发展规划并指导实施，指导、推进全县文化、旅游、广播电视、体育、文物领域体制机制创新。</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eastAsia="zh-CN"/>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(二)推进全县文化旅游广电体育领域的公共服务，规划、引导公共文化产品生产，统筹安排全县文化、旅游、广电、体育事业经费，指导全县重点文化旅游广电体育设施建设和基层文化旅游广电体育设施建设</w:t>
      </w:r>
      <w:r>
        <w:rPr>
          <w:rFonts w:hint="eastAsia" w:ascii="仿宋_GB2312" w:hAnsi="宋体" w:eastAsia="仿宋_GB2312"/>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(三)拟订全县文化旅游广电体育产业发展规划，指导、协调</w:t>
      </w:r>
      <w:r>
        <w:rPr>
          <w:rFonts w:hint="eastAsia" w:ascii="仿宋_GB2312" w:hAnsi="宋体" w:eastAsia="仿宋_GB2312"/>
          <w:color w:val="000000" w:themeColor="text1"/>
          <w:sz w:val="32"/>
          <w:szCs w:val="32"/>
          <w:lang w:eastAsia="zh-CN"/>
          <w14:textFill>
            <w14:solidFill>
              <w14:schemeClr w14:val="tx1"/>
            </w14:solidFill>
          </w14:textFill>
        </w:rPr>
        <w:t>全</w:t>
      </w:r>
      <w:r>
        <w:rPr>
          <w:rFonts w:hint="eastAsia" w:ascii="仿宋_GB2312" w:hAnsi="宋体" w:eastAsia="仿宋_GB2312"/>
          <w:color w:val="000000" w:themeColor="text1"/>
          <w:sz w:val="32"/>
          <w:szCs w:val="32"/>
          <w14:textFill>
            <w14:solidFill>
              <w14:schemeClr w14:val="tx1"/>
            </w14:solidFill>
          </w14:textFill>
        </w:rPr>
        <w:t>县文化旅游广由体育产业发</w:t>
      </w:r>
      <w:r>
        <w:rPr>
          <w:rFonts w:hint="eastAsia" w:ascii="仿宋_GB2312" w:hAnsi="宋体" w:eastAsia="仿宋_GB2312"/>
          <w:color w:val="000000" w:themeColor="text1"/>
          <w:sz w:val="32"/>
          <w:szCs w:val="32"/>
          <w:lang w:eastAsia="zh-CN"/>
          <w14:textFill>
            <w14:solidFill>
              <w14:schemeClr w14:val="tx1"/>
            </w14:solidFill>
          </w14:textFill>
        </w:rPr>
        <w:t>展</w:t>
      </w:r>
      <w:r>
        <w:rPr>
          <w:rFonts w:hint="eastAsia" w:ascii="仿宋_GB2312" w:hAnsi="宋体" w:eastAsia="仿宋_GB2312"/>
          <w:color w:val="000000" w:themeColor="text1"/>
          <w:sz w:val="32"/>
          <w:szCs w:val="32"/>
          <w:lang w:val="en-US" w:eastAsia="zh-CN"/>
          <w14:textFill>
            <w14:solidFill>
              <w14:schemeClr w14:val="tx1"/>
            </w14:solidFill>
          </w14:textFill>
        </w:rPr>
        <w:t>，推进文化旅游广电体育产业交流与合作。</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(四)指导全县文化艺术创作与生产，管理全县性重大文化活动，重点扶持代表性、示范性、实验性文化艺术品种和特色文艺院团，推动各门类艺术的发展。</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五)指导、管理全县文化艺术和体育事业，指导、管理全县图书馆、博物馆、文化馆(站)、体育馆事业和基层文化体育建设;指导非公有性文化旅游体育文物机构和文化艺术类、旅游类、体育类、文物类社会组织的业务工作。</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(六)指导推进全县文化旅游广电体育文物科技创新发展，推进文化旅游广电体育文物行业信息化、标准化建设。</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(七)负责全县物质与非物质文化遗产保护和优秀民族文化的挖掘抢救传承宣传研究工作。</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(八)指导全县文化、旅游、广电、体育、文物等市场发展，对文化旅游广电体育</w:t>
      </w:r>
      <w:bookmarkStart w:id="0" w:name="_GoBack"/>
      <w:bookmarkEnd w:id="0"/>
      <w:r>
        <w:rPr>
          <w:rFonts w:hint="eastAsia" w:ascii="仿宋_GB2312" w:hAnsi="宋体" w:eastAsia="仿宋_GB2312"/>
          <w:color w:val="000000" w:themeColor="text1"/>
          <w:sz w:val="32"/>
          <w:szCs w:val="32"/>
          <w:lang w:val="en-US" w:eastAsia="zh-CN"/>
          <w14:textFill>
            <w14:solidFill>
              <w14:schemeClr w14:val="tx1"/>
            </w14:solidFill>
          </w14:textFill>
        </w:rPr>
        <w:t>文物市场经营进行行业监管，推进文化旅游广电体育文物行业信用体系建设，依法规范文化旅游广电体育文物市场。</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九)组织、指导全县重要旅游产品的开发，促进和引导旅游业利用外资和社会投资工作;拟订全县国际旅游市场开发战略，组织全县旅游形象的对外宣传和重大推广活动;培育、完善和开拓国内旅游市场，拟订我县开拓旅游市场的措施并指导实施。</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 xml:space="preserve">(十)组织全县旅游资源的普查、规划、开发和相关保护工作，指导协调旅游区的规划编制和开发建设，引导休闲度假。监测全县旅游经济运行，负责旅游统计及行业信息发布。协调和指导全县假日旅游和红色旅游工作。 </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十一)承担规范旅游市场秩序、监督管理服务质量、维护旅游消费者和经营者合法权益的责任。规范旅游企业和从业人员的经营和服务行为。组织实施国家确定的各类旅游区(点)、旅游设施、旅游服务、旅游产品等方面的等级和标准，组织实施旅游饭店与旅行社星级标准和星级的初级评定。初审国内旅行社、分社、网点设立和经营范围变更。负责全县旅游安全的综合协调和监督管理，指导应急救援。指导旅游行业精神文明建设和诚信体系建设。加强对旅游市场实施监督管。</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十二)指导旅游教育、培训工作，制定并组织实施全县旅游人才规划，指导实施旅游从业人员的职业资格标准和等级标准。指导全县有关学校开展旅游教育的有关工作。联系和指导旅游社团机构建设和制度建设等工。</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十三)统筹规划群众体育发展，负责推行全民健身计划，指导群众性体育活动的开展，监督实施国家体育锻炼标准，推动国民体质监测和社会体育指导员工作队伍制度建设，指导公共体育设施建设，负责公共体育设施的监督管理。</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 xml:space="preserve">(十四)统筹规划竞技体育发展和青少年体育发展，负责制定全县体育竞赛项目设置和重点布局，组织管理体育训练、体育竟赛、运动队伍肆设，加强体育后备人才建设，推讲青少年体育工。 </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(十五)组织体育领域科学研究的攻关和成果推广，负责组织、协调、监督体育运动中的反兴奋剂工作。</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(十六)组织推进全县广播电视公共服务，负责全县广播电视、信息网络视听节目服务机构和业务的监管并实施准入和退出管理，对从事广播电视节目制作民办机构进行监管。</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(十七)指导、管理文化旅游广电体育行业对外及对港澳台交流、合作和宣传、推广工作。</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(十八)负责职责范围内文化旅游广电体育行业安全生产工作。</w:t>
      </w:r>
    </w:p>
    <w:p>
      <w:pPr>
        <w:keepNext w:val="0"/>
        <w:keepLines w:val="0"/>
        <w:pageBreakBefore w:val="0"/>
        <w:widowControl/>
        <w:kinsoku/>
        <w:wordWrap/>
        <w:overflowPunct/>
        <w:topLinePunct w:val="0"/>
        <w:autoSpaceDE/>
        <w:autoSpaceDN/>
        <w:bidi w:val="0"/>
        <w:adjustRightInd/>
        <w:snapToGrid w:val="0"/>
        <w:spacing w:line="540" w:lineRule="exact"/>
        <w:ind w:firstLine="640" w:firstLineChars="200"/>
        <w:jc w:val="left"/>
        <w:textAlignment w:val="auto"/>
        <w:rPr>
          <w:rFonts w:ascii="仿宋_GB2312" w:hAnsi="宋体" w:eastAsia="仿宋_GB2312" w:cs="宋体"/>
          <w:color w:val="333333"/>
          <w:kern w:val="0"/>
          <w:sz w:val="32"/>
          <w:szCs w:val="32"/>
        </w:rPr>
      </w:pPr>
      <w:r>
        <w:rPr>
          <w:rFonts w:hint="eastAsia" w:ascii="仿宋_GB2312" w:hAnsi="宋体" w:eastAsia="仿宋_GB2312"/>
          <w:color w:val="000000" w:themeColor="text1"/>
          <w:sz w:val="32"/>
          <w:szCs w:val="32"/>
          <w:lang w:val="en-US" w:eastAsia="zh-CN"/>
          <w14:textFill>
            <w14:solidFill>
              <w14:schemeClr w14:val="tx1"/>
            </w14:solidFill>
          </w14:textFill>
        </w:rPr>
        <w:t>(十九)承办县委和县政府交办的其他任务。</w:t>
      </w:r>
      <w:r>
        <w:rPr>
          <w:rFonts w:hint="eastAsia" w:ascii="仿宋_GB2312" w:hAnsi="宋体" w:eastAsia="仿宋_GB2312" w:cs="宋体"/>
          <w:color w:val="333333"/>
          <w:kern w:val="0"/>
          <w:sz w:val="32"/>
          <w:szCs w:val="32"/>
        </w:rPr>
        <w:t>2、机构设置</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文化旅游广电体育局属全额拨款行政单位。机关行政编制8个、事业编制3个；下设二级机构9个，文化市场综合行政执法大队编制14名、旅游发展事务中心编制6名、老年人体育协会编制3名、少年儿童业余体育运动学校编制4名、体育馆编制5名、非物质文化遗产保护中心编制5名、文化馆11名、图书馆8名、民族歌舞剧团12名（差额）。局机关现有在职人员</w:t>
      </w:r>
      <w:r>
        <w:rPr>
          <w:rFonts w:hint="eastAsia" w:ascii="仿宋_GB2312" w:hAnsi="宋体" w:eastAsia="仿宋_GB2312"/>
          <w:color w:val="000000" w:themeColor="text1"/>
          <w:sz w:val="32"/>
          <w:szCs w:val="32"/>
          <w:lang w:val="en-US" w:eastAsia="zh-CN"/>
          <w14:textFill>
            <w14:solidFill>
              <w14:schemeClr w14:val="tx1"/>
            </w14:solidFill>
          </w14:textFill>
        </w:rPr>
        <w:t>19</w:t>
      </w:r>
      <w:r>
        <w:rPr>
          <w:rFonts w:hint="eastAsia" w:ascii="仿宋_GB2312" w:hAnsi="宋体" w:eastAsia="仿宋_GB2312"/>
          <w:color w:val="000000" w:themeColor="text1"/>
          <w:sz w:val="32"/>
          <w:szCs w:val="32"/>
          <w14:textFill>
            <w14:solidFill>
              <w14:schemeClr w14:val="tx1"/>
            </w14:solidFill>
          </w14:textFill>
        </w:rPr>
        <w:t>人、退</w:t>
      </w:r>
      <w:r>
        <w:rPr>
          <w:rFonts w:hint="eastAsia" w:ascii="仿宋_GB2312" w:hAnsi="宋体" w:eastAsia="仿宋_GB2312"/>
          <w:color w:val="000000" w:themeColor="text1"/>
          <w:sz w:val="32"/>
          <w:szCs w:val="32"/>
          <w:highlight w:val="none"/>
          <w14:textFill>
            <w14:solidFill>
              <w14:schemeClr w14:val="tx1"/>
            </w14:solidFill>
          </w14:textFill>
        </w:rPr>
        <w:t>休人员3</w:t>
      </w:r>
      <w:r>
        <w:rPr>
          <w:rFonts w:hint="eastAsia" w:ascii="仿宋_GB2312" w:hAnsi="宋体" w:eastAsia="仿宋_GB2312"/>
          <w:color w:val="000000" w:themeColor="text1"/>
          <w:sz w:val="32"/>
          <w:szCs w:val="32"/>
          <w:highlight w:val="none"/>
          <w:lang w:val="en-US" w:eastAsia="zh-CN"/>
          <w14:textFill>
            <w14:solidFill>
              <w14:schemeClr w14:val="tx1"/>
            </w14:solidFill>
          </w14:textFill>
        </w:rPr>
        <w:t>2</w:t>
      </w:r>
      <w:r>
        <w:rPr>
          <w:rFonts w:hint="eastAsia" w:ascii="仿宋_GB2312" w:hAnsi="宋体" w:eastAsia="仿宋_GB2312"/>
          <w:color w:val="000000" w:themeColor="text1"/>
          <w:sz w:val="32"/>
          <w:szCs w:val="32"/>
          <w:highlight w:val="none"/>
          <w14:textFill>
            <w14:solidFill>
              <w14:schemeClr w14:val="tx1"/>
            </w14:solidFill>
          </w14:textFill>
        </w:rPr>
        <w:t>人、提前退休人员</w:t>
      </w:r>
      <w:r>
        <w:rPr>
          <w:rFonts w:hint="eastAsia" w:ascii="仿宋_GB2312" w:hAnsi="宋体" w:eastAsia="仿宋_GB2312"/>
          <w:color w:val="000000" w:themeColor="text1"/>
          <w:sz w:val="32"/>
          <w:szCs w:val="32"/>
          <w:lang w:val="en-US" w:eastAsia="zh-CN"/>
          <w14:textFill>
            <w14:solidFill>
              <w14:schemeClr w14:val="tx1"/>
            </w14:solidFill>
          </w14:textFill>
        </w:rPr>
        <w:t>3</w:t>
      </w:r>
      <w:r>
        <w:rPr>
          <w:rFonts w:hint="eastAsia" w:ascii="仿宋_GB2312" w:hAnsi="宋体" w:eastAsia="仿宋_GB2312"/>
          <w:color w:val="000000" w:themeColor="text1"/>
          <w:sz w:val="32"/>
          <w:szCs w:val="32"/>
          <w14:textFill>
            <w14:solidFill>
              <w14:schemeClr w14:val="tx1"/>
            </w14:solidFill>
          </w14:textFill>
        </w:rPr>
        <w:t>人。</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rPr>
        <w:t>202</w:t>
      </w:r>
      <w:r>
        <w:rPr>
          <w:rFonts w:hint="eastAsia" w:ascii="仿宋_GB2312" w:hAnsi="宋体" w:eastAsia="仿宋_GB2312"/>
          <w:color w:val="auto"/>
          <w:sz w:val="32"/>
          <w:szCs w:val="32"/>
          <w:lang w:val="en-US" w:eastAsia="zh-CN"/>
        </w:rPr>
        <w:t>3</w:t>
      </w:r>
      <w:r>
        <w:rPr>
          <w:rFonts w:hint="eastAsia" w:ascii="仿宋_GB2312" w:hAnsi="宋体" w:eastAsia="仿宋_GB2312"/>
          <w:color w:val="auto"/>
          <w:sz w:val="32"/>
          <w:szCs w:val="32"/>
        </w:rPr>
        <w:t>年我局决算收入</w:t>
      </w:r>
      <w:r>
        <w:rPr>
          <w:rFonts w:hint="eastAsia" w:ascii="仿宋_GB2312" w:hAnsi="宋体" w:eastAsia="仿宋_GB2312"/>
          <w:color w:val="auto"/>
          <w:sz w:val="32"/>
          <w:szCs w:val="32"/>
          <w:lang w:val="en-US" w:eastAsia="zh-CN"/>
        </w:rPr>
        <w:t>4919.98</w:t>
      </w:r>
      <w:r>
        <w:rPr>
          <w:rFonts w:hint="eastAsia" w:ascii="仿宋_GB2312" w:hAnsi="宋体" w:eastAsia="仿宋_GB2312"/>
          <w:color w:val="auto"/>
          <w:sz w:val="32"/>
          <w:szCs w:val="32"/>
        </w:rPr>
        <w:t>万元，支出</w:t>
      </w:r>
      <w:r>
        <w:rPr>
          <w:rFonts w:hint="eastAsia" w:ascii="仿宋_GB2312" w:hAnsi="宋体" w:eastAsia="仿宋_GB2312"/>
          <w:color w:val="auto"/>
          <w:sz w:val="32"/>
          <w:szCs w:val="32"/>
          <w:lang w:val="en-US" w:eastAsia="zh-CN"/>
        </w:rPr>
        <w:t>4949.97</w:t>
      </w:r>
      <w:r>
        <w:rPr>
          <w:rFonts w:hint="eastAsia" w:ascii="仿宋_GB2312" w:hAnsi="宋体" w:eastAsia="仿宋_GB2312"/>
          <w:color w:val="auto"/>
          <w:sz w:val="32"/>
          <w:szCs w:val="32"/>
        </w:rPr>
        <w:t>万元，上年结余</w:t>
      </w:r>
      <w:r>
        <w:rPr>
          <w:rFonts w:hint="eastAsia" w:ascii="仿宋_GB2312" w:hAnsi="宋体" w:eastAsia="仿宋_GB2312"/>
          <w:color w:val="auto"/>
          <w:sz w:val="32"/>
          <w:szCs w:val="32"/>
          <w:lang w:val="en-US" w:eastAsia="zh-CN"/>
        </w:rPr>
        <w:t>0</w:t>
      </w:r>
      <w:r>
        <w:rPr>
          <w:rFonts w:hint="eastAsia" w:ascii="仿宋_GB2312" w:hAnsi="宋体" w:eastAsia="仿宋_GB2312"/>
          <w:color w:val="auto"/>
          <w:sz w:val="32"/>
          <w:szCs w:val="32"/>
        </w:rPr>
        <w:t>万元，年末结余</w:t>
      </w:r>
      <w:r>
        <w:rPr>
          <w:rFonts w:hint="eastAsia" w:ascii="仿宋_GB2312" w:hAnsi="宋体" w:eastAsia="仿宋_GB2312"/>
          <w:color w:val="auto"/>
          <w:sz w:val="32"/>
          <w:szCs w:val="32"/>
          <w:lang w:val="en-US" w:eastAsia="zh-CN"/>
        </w:rPr>
        <w:t>0</w:t>
      </w:r>
      <w:r>
        <w:rPr>
          <w:rFonts w:hint="eastAsia" w:ascii="仿宋_GB2312" w:hAnsi="宋体" w:eastAsia="仿宋_GB2312"/>
          <w:color w:val="auto"/>
          <w:sz w:val="32"/>
          <w:szCs w:val="32"/>
        </w:rPr>
        <w:t>万元。年末固定资产</w:t>
      </w:r>
      <w:r>
        <w:rPr>
          <w:rFonts w:hint="eastAsia" w:ascii="仿宋_GB2312" w:hAnsi="宋体" w:eastAsia="仿宋_GB2312"/>
          <w:color w:val="auto"/>
          <w:sz w:val="32"/>
          <w:szCs w:val="32"/>
          <w:lang w:val="en-US" w:eastAsia="zh-CN"/>
        </w:rPr>
        <w:t>446.8</w:t>
      </w:r>
      <w:r>
        <w:rPr>
          <w:rFonts w:hint="eastAsia" w:ascii="仿宋_GB2312" w:hAnsi="宋体" w:eastAsia="仿宋_GB2312"/>
          <w:color w:val="auto"/>
          <w:sz w:val="32"/>
          <w:szCs w:val="32"/>
        </w:rPr>
        <w:t>万元，其中：房屋及构筑物</w:t>
      </w:r>
      <w:r>
        <w:rPr>
          <w:rFonts w:hint="eastAsia" w:ascii="仿宋_GB2312" w:hAnsi="宋体" w:eastAsia="仿宋_GB2312"/>
          <w:color w:val="auto"/>
          <w:sz w:val="32"/>
          <w:szCs w:val="32"/>
          <w:lang w:val="en-US" w:eastAsia="zh-CN"/>
        </w:rPr>
        <w:t>13</w:t>
      </w:r>
      <w:r>
        <w:rPr>
          <w:rFonts w:hint="eastAsia" w:ascii="仿宋_GB2312" w:hAnsi="宋体" w:eastAsia="仿宋_GB2312"/>
          <w:color w:val="auto"/>
          <w:sz w:val="32"/>
          <w:szCs w:val="32"/>
        </w:rPr>
        <w:t>万元、</w:t>
      </w:r>
      <w:r>
        <w:rPr>
          <w:rFonts w:hint="eastAsia" w:ascii="仿宋_GB2312" w:hAnsi="宋体" w:eastAsia="仿宋_GB2312"/>
          <w:color w:val="auto"/>
          <w:sz w:val="32"/>
          <w:szCs w:val="32"/>
          <w:lang w:val="en-US" w:eastAsia="zh-CN"/>
        </w:rPr>
        <w:t>通用</w:t>
      </w:r>
      <w:r>
        <w:rPr>
          <w:rFonts w:hint="eastAsia" w:ascii="仿宋_GB2312" w:hAnsi="宋体" w:eastAsia="仿宋_GB2312"/>
          <w:color w:val="auto"/>
          <w:sz w:val="32"/>
          <w:szCs w:val="32"/>
        </w:rPr>
        <w:t>设备</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含专用设备</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163.32</w:t>
      </w:r>
      <w:r>
        <w:rPr>
          <w:rFonts w:hint="eastAsia" w:ascii="仿宋_GB2312" w:hAnsi="宋体" w:eastAsia="仿宋_GB2312"/>
          <w:color w:val="auto"/>
          <w:sz w:val="32"/>
          <w:szCs w:val="32"/>
        </w:rPr>
        <w:t>万元、</w:t>
      </w:r>
      <w:r>
        <w:rPr>
          <w:rFonts w:hint="eastAsia" w:ascii="仿宋_GB2312" w:hAnsi="宋体" w:eastAsia="仿宋_GB2312"/>
          <w:color w:val="auto"/>
          <w:sz w:val="32"/>
          <w:szCs w:val="32"/>
          <w:lang w:val="en-US" w:eastAsia="zh-CN"/>
        </w:rPr>
        <w:t>图书和档案201.4万元、家用和用具69.07万元</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无形资产31.23万元。</w:t>
      </w:r>
    </w:p>
    <w:p>
      <w:pPr>
        <w:keepNext w:val="0"/>
        <w:keepLines w:val="0"/>
        <w:pageBreakBefore w:val="0"/>
        <w:kinsoku/>
        <w:wordWrap/>
        <w:overflowPunct/>
        <w:topLinePunct w:val="0"/>
        <w:autoSpaceDE/>
        <w:autoSpaceDN/>
        <w:bidi w:val="0"/>
        <w:adjustRightInd/>
        <w:spacing w:line="540" w:lineRule="exact"/>
        <w:ind w:firstLine="640" w:firstLineChars="200"/>
        <w:textAlignment w:val="auto"/>
        <w:rPr>
          <w:rFonts w:hint="eastAsia" w:ascii="仿宋_GB2312" w:hAnsi="宋体" w:eastAsia="仿宋_GB2312" w:cs="Times New Roman"/>
          <w:color w:val="000000" w:themeColor="text1"/>
          <w:sz w:val="32"/>
          <w:szCs w:val="32"/>
          <w:lang w:val="en-US" w:eastAsia="zh-CN"/>
          <w14:textFill>
            <w14:solidFill>
              <w14:schemeClr w14:val="tx1"/>
            </w14:solidFill>
          </w14:textFill>
        </w:rPr>
      </w:pPr>
      <w:r>
        <w:rPr>
          <w:rFonts w:hint="eastAsia" w:ascii="仿宋_GB2312" w:hAnsi="宋体" w:eastAsia="仿宋_GB2312" w:cs="Times New Roman"/>
          <w:color w:val="000000" w:themeColor="text1"/>
          <w:sz w:val="32"/>
          <w:szCs w:val="32"/>
          <w:lang w:val="en-US" w:eastAsia="zh-CN"/>
          <w14:textFill>
            <w14:solidFill>
              <w14:schemeClr w14:val="tx1"/>
            </w14:solidFill>
          </w14:textFill>
        </w:rPr>
        <w:t>我局严格按照县财政相关政策制度管理、使用各项资金，并根据《会计法》、《预算法》等法规制订了单位财务管理、办公物资采购管理、固定资产管理等多项财务规章制度，专项资金的开支，均需要各部门严格控制，层层审批，确保专款专用。</w:t>
      </w:r>
    </w:p>
    <w:p>
      <w:pPr>
        <w:spacing w:line="560" w:lineRule="exact"/>
        <w:ind w:firstLine="640" w:firstLineChars="200"/>
        <w:jc w:val="left"/>
        <w:rPr>
          <w:rFonts w:hint="eastAsia" w:ascii="黑体" w:hAnsi="黑体" w:eastAsia="黑体"/>
          <w:sz w:val="32"/>
          <w:szCs w:val="32"/>
        </w:rPr>
      </w:pPr>
      <w:r>
        <w:rPr>
          <w:rFonts w:hint="eastAsia" w:ascii="黑体" w:hAnsi="黑体" w:eastAsia="黑体"/>
          <w:sz w:val="32"/>
          <w:szCs w:val="32"/>
        </w:rPr>
        <w:t>二、部门（单位）整体支出绩效状况</w:t>
      </w:r>
    </w:p>
    <w:p>
      <w:pPr>
        <w:spacing w:line="560" w:lineRule="exact"/>
        <w:ind w:left="0" w:firstLine="640" w:firstLineChars="200"/>
        <w:jc w:val="left"/>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（一）、202</w:t>
      </w:r>
      <w:r>
        <w:rPr>
          <w:rFonts w:hint="eastAsia" w:ascii="仿宋_GB2312" w:hAnsi="仿宋" w:eastAsia="仿宋_GB2312" w:cs="仿宋"/>
          <w:color w:val="auto"/>
          <w:sz w:val="32"/>
          <w:szCs w:val="32"/>
          <w:lang w:val="en-US" w:eastAsia="zh-CN"/>
        </w:rPr>
        <w:t>3</w:t>
      </w:r>
      <w:r>
        <w:rPr>
          <w:rFonts w:hint="eastAsia" w:ascii="仿宋_GB2312" w:hAnsi="仿宋" w:eastAsia="仿宋_GB2312" w:cs="仿宋"/>
          <w:color w:val="auto"/>
          <w:sz w:val="32"/>
          <w:szCs w:val="32"/>
        </w:rPr>
        <w:t>年部门决算收支完成情况。</w:t>
      </w:r>
    </w:p>
    <w:p>
      <w:pPr>
        <w:spacing w:line="560" w:lineRule="exact"/>
        <w:ind w:left="0" w:firstLine="640" w:firstLineChars="200"/>
        <w:jc w:val="left"/>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1、收入：</w:t>
      </w:r>
      <w:r>
        <w:rPr>
          <w:rFonts w:hint="eastAsia" w:ascii="仿宋_GB2312" w:hAnsi="仿宋" w:eastAsia="仿宋_GB2312" w:cs="仿宋"/>
          <w:color w:val="auto"/>
          <w:sz w:val="32"/>
          <w:szCs w:val="32"/>
          <w:lang w:val="en-US" w:eastAsia="zh-CN"/>
        </w:rPr>
        <w:t>4919.98</w:t>
      </w:r>
      <w:r>
        <w:rPr>
          <w:rFonts w:hint="eastAsia" w:ascii="仿宋_GB2312" w:hAnsi="仿宋" w:eastAsia="仿宋_GB2312" w:cs="仿宋"/>
          <w:color w:val="auto"/>
          <w:sz w:val="32"/>
          <w:szCs w:val="32"/>
        </w:rPr>
        <w:t>万元。</w:t>
      </w:r>
    </w:p>
    <w:p>
      <w:pPr>
        <w:spacing w:line="560" w:lineRule="exact"/>
        <w:ind w:left="0" w:firstLine="640" w:firstLineChars="200"/>
        <w:jc w:val="left"/>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其中，一般公共预算财政拨款收入</w:t>
      </w:r>
      <w:r>
        <w:rPr>
          <w:rFonts w:hint="eastAsia" w:ascii="仿宋_GB2312" w:hAnsi="仿宋" w:eastAsia="仿宋_GB2312" w:cs="仿宋"/>
          <w:color w:val="auto"/>
          <w:sz w:val="32"/>
          <w:szCs w:val="32"/>
          <w:lang w:val="en-US" w:eastAsia="zh-CN"/>
        </w:rPr>
        <w:t>1879.58</w:t>
      </w:r>
      <w:r>
        <w:rPr>
          <w:rFonts w:hint="eastAsia" w:ascii="仿宋_GB2312" w:hAnsi="仿宋" w:eastAsia="仿宋_GB2312" w:cs="仿宋"/>
          <w:color w:val="auto"/>
          <w:sz w:val="32"/>
          <w:szCs w:val="32"/>
        </w:rPr>
        <w:t>万元，政府性基金预算财政拨款收入</w:t>
      </w:r>
      <w:r>
        <w:rPr>
          <w:rFonts w:hint="eastAsia" w:ascii="仿宋_GB2312" w:hAnsi="仿宋" w:eastAsia="仿宋_GB2312" w:cs="仿宋"/>
          <w:color w:val="auto"/>
          <w:sz w:val="32"/>
          <w:szCs w:val="32"/>
          <w:lang w:val="en-US" w:eastAsia="zh-CN"/>
        </w:rPr>
        <w:t>3040.4</w:t>
      </w:r>
      <w:r>
        <w:rPr>
          <w:rFonts w:hint="eastAsia" w:ascii="仿宋_GB2312" w:hAnsi="仿宋" w:eastAsia="仿宋_GB2312" w:cs="仿宋"/>
          <w:color w:val="auto"/>
          <w:sz w:val="32"/>
          <w:szCs w:val="32"/>
        </w:rPr>
        <w:t>万元，年初结转和结余</w:t>
      </w:r>
      <w:r>
        <w:rPr>
          <w:rFonts w:hint="eastAsia" w:ascii="仿宋_GB2312" w:hAnsi="仿宋" w:eastAsia="仿宋_GB2312" w:cs="仿宋"/>
          <w:color w:val="auto"/>
          <w:sz w:val="32"/>
          <w:szCs w:val="32"/>
          <w:lang w:val="en-US" w:eastAsia="zh-CN"/>
        </w:rPr>
        <w:t>0</w:t>
      </w:r>
      <w:r>
        <w:rPr>
          <w:rFonts w:hint="eastAsia" w:ascii="仿宋_GB2312" w:hAnsi="仿宋" w:eastAsia="仿宋_GB2312" w:cs="仿宋"/>
          <w:color w:val="auto"/>
          <w:sz w:val="32"/>
          <w:szCs w:val="32"/>
        </w:rPr>
        <w:t>万元。</w:t>
      </w:r>
    </w:p>
    <w:p>
      <w:pPr>
        <w:spacing w:line="560" w:lineRule="exact"/>
        <w:ind w:left="0" w:firstLine="640" w:firstLineChars="200"/>
        <w:jc w:val="left"/>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2、支出：</w:t>
      </w:r>
      <w:r>
        <w:rPr>
          <w:rFonts w:hint="eastAsia" w:ascii="仿宋_GB2312" w:hAnsi="仿宋" w:eastAsia="仿宋_GB2312" w:cs="仿宋"/>
          <w:color w:val="auto"/>
          <w:sz w:val="32"/>
          <w:szCs w:val="32"/>
          <w:lang w:val="en-US" w:eastAsia="zh-CN"/>
        </w:rPr>
        <w:t>4919.97</w:t>
      </w:r>
      <w:r>
        <w:rPr>
          <w:rFonts w:hint="eastAsia" w:ascii="仿宋_GB2312" w:hAnsi="仿宋" w:eastAsia="仿宋_GB2312" w:cs="仿宋"/>
          <w:color w:val="auto"/>
          <w:sz w:val="32"/>
          <w:szCs w:val="32"/>
        </w:rPr>
        <w:t>万元。</w:t>
      </w:r>
    </w:p>
    <w:p>
      <w:pPr>
        <w:spacing w:line="560" w:lineRule="exact"/>
        <w:ind w:left="0" w:firstLine="640" w:firstLineChars="200"/>
        <w:jc w:val="left"/>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其中，基本支出</w:t>
      </w:r>
      <w:r>
        <w:rPr>
          <w:rFonts w:hint="eastAsia" w:ascii="仿宋_GB2312" w:hAnsi="仿宋" w:eastAsia="仿宋_GB2312" w:cs="仿宋"/>
          <w:color w:val="auto"/>
          <w:sz w:val="32"/>
          <w:szCs w:val="32"/>
          <w:lang w:val="en-US" w:eastAsia="zh-CN"/>
        </w:rPr>
        <w:t>3838</w:t>
      </w:r>
      <w:r>
        <w:rPr>
          <w:rFonts w:hint="eastAsia" w:ascii="仿宋_GB2312" w:hAnsi="仿宋" w:eastAsia="仿宋_GB2312" w:cs="仿宋"/>
          <w:color w:val="auto"/>
          <w:sz w:val="32"/>
          <w:szCs w:val="32"/>
        </w:rPr>
        <w:t>万元，项目支出</w:t>
      </w:r>
      <w:r>
        <w:rPr>
          <w:rFonts w:hint="eastAsia" w:ascii="仿宋_GB2312" w:hAnsi="仿宋" w:eastAsia="仿宋_GB2312" w:cs="仿宋"/>
          <w:color w:val="auto"/>
          <w:sz w:val="32"/>
          <w:szCs w:val="32"/>
          <w:lang w:val="en-US" w:eastAsia="zh-CN"/>
        </w:rPr>
        <w:t>1081.97</w:t>
      </w:r>
      <w:r>
        <w:rPr>
          <w:rFonts w:hint="eastAsia" w:ascii="仿宋_GB2312" w:hAnsi="仿宋" w:eastAsia="仿宋_GB2312" w:cs="仿宋"/>
          <w:color w:val="auto"/>
          <w:sz w:val="32"/>
          <w:szCs w:val="32"/>
        </w:rPr>
        <w:t>万元。</w:t>
      </w:r>
    </w:p>
    <w:p>
      <w:pPr>
        <w:spacing w:line="560" w:lineRule="exact"/>
        <w:ind w:left="0" w:firstLine="640" w:firstLineChars="200"/>
        <w:jc w:val="left"/>
        <w:rPr>
          <w:rFonts w:hint="eastAsia" w:ascii="仿宋_GB2312" w:hAnsi="仿宋" w:eastAsia="仿宋_GB2312" w:cs="仿宋"/>
          <w:color w:val="auto"/>
          <w:sz w:val="32"/>
          <w:szCs w:val="32"/>
        </w:rPr>
      </w:pPr>
      <w:r>
        <w:rPr>
          <w:rFonts w:hint="eastAsia" w:ascii="仿宋_GB2312" w:hAnsi="仿宋" w:eastAsia="仿宋_GB2312" w:cs="仿宋"/>
          <w:color w:val="auto"/>
          <w:sz w:val="32"/>
          <w:szCs w:val="32"/>
        </w:rPr>
        <w:t>3、年终结余</w:t>
      </w:r>
      <w:r>
        <w:rPr>
          <w:rFonts w:hint="eastAsia" w:ascii="仿宋_GB2312" w:hAnsi="仿宋" w:eastAsia="仿宋_GB2312" w:cs="仿宋"/>
          <w:color w:val="auto"/>
          <w:sz w:val="32"/>
          <w:szCs w:val="32"/>
          <w:lang w:val="en-US" w:eastAsia="zh-CN"/>
        </w:rPr>
        <w:t>0</w:t>
      </w:r>
      <w:r>
        <w:rPr>
          <w:rFonts w:hint="eastAsia" w:ascii="仿宋_GB2312" w:hAnsi="仿宋" w:eastAsia="仿宋_GB2312" w:cs="仿宋"/>
          <w:color w:val="auto"/>
          <w:sz w:val="32"/>
          <w:szCs w:val="32"/>
        </w:rPr>
        <w:t>万元。</w:t>
      </w:r>
    </w:p>
    <w:p>
      <w:pPr>
        <w:spacing w:line="560" w:lineRule="exact"/>
        <w:ind w:left="0" w:firstLine="640" w:firstLineChars="200"/>
        <w:jc w:val="left"/>
        <w:rPr>
          <w:rFonts w:hint="eastAsia" w:ascii="仿宋_GB2312" w:hAnsi="仿宋" w:eastAsia="仿宋_GB2312" w:cs="仿宋"/>
          <w:sz w:val="32"/>
          <w:szCs w:val="32"/>
        </w:rPr>
      </w:pPr>
      <w:r>
        <w:rPr>
          <w:rFonts w:hint="eastAsia" w:ascii="仿宋_GB2312" w:hAnsi="仿宋" w:eastAsia="仿宋_GB2312" w:cs="仿宋"/>
          <w:sz w:val="32"/>
          <w:szCs w:val="32"/>
        </w:rPr>
        <w:t>（二）、专项资金实际使用情况分析</w:t>
      </w:r>
    </w:p>
    <w:p>
      <w:pPr>
        <w:ind w:firstLine="640" w:firstLineChars="200"/>
        <w:rPr>
          <w:rFonts w:hint="eastAsia" w:ascii="仿宋_GB2312" w:hAnsi="仿宋" w:eastAsia="仿宋_GB2312" w:cs="仿宋"/>
          <w:sz w:val="32"/>
          <w:szCs w:val="32"/>
          <w:highlight w:val="none"/>
          <w:lang w:val="en-US" w:eastAsia="zh-CN"/>
        </w:rPr>
      </w:pPr>
      <w:r>
        <w:rPr>
          <w:rFonts w:hint="eastAsia" w:ascii="仿宋_GB2312" w:hAnsi="仿宋" w:eastAsia="仿宋_GB2312" w:cs="仿宋"/>
          <w:sz w:val="32"/>
          <w:szCs w:val="32"/>
          <w:highlight w:val="none"/>
        </w:rPr>
        <w:t>202</w:t>
      </w:r>
      <w:r>
        <w:rPr>
          <w:rFonts w:hint="eastAsia" w:ascii="仿宋_GB2312" w:hAnsi="仿宋" w:eastAsia="仿宋_GB2312" w:cs="仿宋"/>
          <w:sz w:val="32"/>
          <w:szCs w:val="32"/>
          <w:highlight w:val="none"/>
          <w:lang w:val="en-US" w:eastAsia="zh-CN"/>
        </w:rPr>
        <w:t>3</w:t>
      </w:r>
      <w:r>
        <w:rPr>
          <w:rFonts w:hint="eastAsia" w:ascii="仿宋_GB2312" w:hAnsi="仿宋" w:eastAsia="仿宋_GB2312" w:cs="仿宋"/>
          <w:sz w:val="32"/>
          <w:szCs w:val="32"/>
          <w:highlight w:val="none"/>
        </w:rPr>
        <w:t>年项目支出投入</w:t>
      </w:r>
      <w:r>
        <w:rPr>
          <w:rFonts w:hint="default" w:ascii="仿宋_GB2312" w:hAnsi="仿宋" w:eastAsia="仿宋_GB2312" w:cs="仿宋"/>
          <w:sz w:val="32"/>
          <w:szCs w:val="32"/>
          <w:highlight w:val="none"/>
          <w:lang w:eastAsia="zh-CN"/>
        </w:rPr>
        <w:t>563.21</w:t>
      </w:r>
      <w:r>
        <w:rPr>
          <w:rFonts w:hint="eastAsia" w:ascii="仿宋_GB2312" w:hAnsi="仿宋" w:eastAsia="仿宋_GB2312" w:cs="仿宋"/>
          <w:sz w:val="32"/>
          <w:szCs w:val="32"/>
          <w:highlight w:val="none"/>
        </w:rPr>
        <w:t>万元，年初预算数</w:t>
      </w:r>
      <w:r>
        <w:rPr>
          <w:rFonts w:hint="default" w:ascii="仿宋_GB2312" w:hAnsi="仿宋" w:eastAsia="仿宋_GB2312" w:cs="仿宋"/>
          <w:sz w:val="32"/>
          <w:szCs w:val="32"/>
          <w:highlight w:val="none"/>
          <w:lang w:eastAsia="zh-CN"/>
        </w:rPr>
        <w:t>905.43</w:t>
      </w:r>
      <w:r>
        <w:rPr>
          <w:rFonts w:hint="eastAsia" w:ascii="仿宋_GB2312" w:hAnsi="仿宋" w:eastAsia="仿宋_GB2312" w:cs="仿宋"/>
          <w:sz w:val="32"/>
          <w:szCs w:val="32"/>
          <w:highlight w:val="none"/>
        </w:rPr>
        <w:t>万元。主要项目支出是</w:t>
      </w:r>
      <w:r>
        <w:rPr>
          <w:rFonts w:hint="eastAsia" w:ascii="仿宋_GB2312" w:hAnsi="仿宋" w:eastAsia="仿宋_GB2312" w:cs="仿宋"/>
          <w:sz w:val="32"/>
          <w:szCs w:val="32"/>
          <w:highlight w:val="none"/>
          <w:lang w:eastAsia="zh-CN"/>
        </w:rPr>
        <w:t>：</w:t>
      </w:r>
      <w:r>
        <w:rPr>
          <w:rFonts w:hint="eastAsia" w:ascii="仿宋_GB2312" w:hAnsi="仿宋" w:eastAsia="仿宋_GB2312" w:cs="仿宋"/>
          <w:sz w:val="32"/>
          <w:szCs w:val="32"/>
          <w:highlight w:val="none"/>
        </w:rPr>
        <w:t>1</w:t>
      </w:r>
      <w:r>
        <w:rPr>
          <w:rFonts w:hint="eastAsia" w:ascii="仿宋_GB2312" w:hAnsi="仿宋" w:eastAsia="仿宋_GB2312" w:cs="仿宋"/>
          <w:sz w:val="32"/>
          <w:szCs w:val="32"/>
          <w:highlight w:val="none"/>
          <w:lang w:eastAsia="zh-CN"/>
        </w:rPr>
        <w:t>、</w:t>
      </w:r>
      <w:r>
        <w:rPr>
          <w:rFonts w:hint="eastAsia" w:ascii="仿宋_GB2312" w:hAnsi="仿宋" w:eastAsia="仿宋_GB2312" w:cs="仿宋"/>
          <w:sz w:val="32"/>
          <w:szCs w:val="32"/>
          <w:highlight w:val="none"/>
          <w:lang w:val="en-US" w:eastAsia="zh-CN"/>
        </w:rPr>
        <w:t>体育彩票销售奖励100万元，实际支出94.96万元；2.</w:t>
      </w:r>
      <w:r>
        <w:rPr>
          <w:rFonts w:hint="eastAsia" w:ascii="仿宋_GB2312" w:hAnsi="仿宋" w:eastAsia="仿宋_GB2312" w:cs="仿宋"/>
          <w:sz w:val="32"/>
          <w:szCs w:val="32"/>
          <w:highlight w:val="none"/>
        </w:rPr>
        <w:t>清廉新晃建设经费</w:t>
      </w:r>
      <w:r>
        <w:rPr>
          <w:rFonts w:hint="eastAsia" w:ascii="仿宋_GB2312" w:hAnsi="仿宋" w:eastAsia="仿宋_GB2312" w:cs="仿宋"/>
          <w:sz w:val="32"/>
          <w:szCs w:val="32"/>
          <w:highlight w:val="none"/>
          <w:lang w:val="en-US" w:eastAsia="zh-CN"/>
        </w:rPr>
        <w:t>71.54万元，实际支出57万元；3</w:t>
      </w:r>
      <w:r>
        <w:rPr>
          <w:rFonts w:hint="eastAsia" w:ascii="仿宋_GB2312" w:hAnsi="仿宋" w:eastAsia="仿宋_GB2312" w:cs="仿宋"/>
          <w:sz w:val="32"/>
          <w:szCs w:val="32"/>
          <w:highlight w:val="none"/>
        </w:rPr>
        <w:t>县扶持旅游产业发展奖励政策</w:t>
      </w:r>
      <w:r>
        <w:rPr>
          <w:rFonts w:hint="eastAsia" w:ascii="仿宋_GB2312" w:hAnsi="仿宋" w:eastAsia="仿宋_GB2312" w:cs="仿宋"/>
          <w:sz w:val="32"/>
          <w:szCs w:val="32"/>
          <w:highlight w:val="none"/>
          <w:lang w:val="en-US" w:eastAsia="zh-CN"/>
        </w:rPr>
        <w:t>100万元，实际支出0万元；4.</w:t>
      </w:r>
      <w:r>
        <w:rPr>
          <w:rFonts w:hint="eastAsia" w:ascii="仿宋_GB2312" w:hAnsi="仿宋" w:eastAsia="仿宋_GB2312" w:cs="仿宋"/>
          <w:sz w:val="32"/>
          <w:szCs w:val="32"/>
          <w:highlight w:val="none"/>
          <w:lang w:eastAsia="zh-CN"/>
        </w:rPr>
        <w:t>地方公共文化服务体系建设及奖补资金</w:t>
      </w:r>
      <w:r>
        <w:rPr>
          <w:rFonts w:hint="eastAsia" w:ascii="仿宋_GB2312" w:hAnsi="仿宋" w:eastAsia="仿宋_GB2312" w:cs="仿宋"/>
          <w:sz w:val="32"/>
          <w:szCs w:val="32"/>
          <w:highlight w:val="none"/>
          <w:lang w:val="en-US" w:eastAsia="zh-CN"/>
        </w:rPr>
        <w:t>285.82万元，实际支出113.7万元；5.</w:t>
      </w:r>
      <w:r>
        <w:rPr>
          <w:rFonts w:hint="eastAsia" w:ascii="仿宋_GB2312" w:hAnsi="仿宋" w:eastAsia="仿宋_GB2312" w:cs="仿宋"/>
          <w:sz w:val="32"/>
          <w:szCs w:val="32"/>
          <w:highlight w:val="none"/>
        </w:rPr>
        <w:t>专项业务费</w:t>
      </w:r>
      <w:r>
        <w:rPr>
          <w:rFonts w:hint="eastAsia" w:ascii="仿宋_GB2312" w:hAnsi="仿宋" w:eastAsia="仿宋_GB2312" w:cs="仿宋"/>
          <w:sz w:val="32"/>
          <w:szCs w:val="32"/>
          <w:highlight w:val="none"/>
          <w:lang w:val="en-US" w:eastAsia="zh-CN"/>
        </w:rPr>
        <w:t>47.66万元，实际支出47.66万元；6.</w:t>
      </w:r>
      <w:r>
        <w:rPr>
          <w:rFonts w:hint="eastAsia" w:ascii="仿宋_GB2312" w:hAnsi="仿宋" w:eastAsia="仿宋_GB2312" w:cs="仿宋"/>
          <w:sz w:val="32"/>
          <w:szCs w:val="32"/>
          <w:highlight w:val="none"/>
        </w:rPr>
        <w:t>用于体育事业的彩票公益金支出</w:t>
      </w:r>
      <w:r>
        <w:rPr>
          <w:rFonts w:hint="eastAsia" w:ascii="仿宋_GB2312" w:hAnsi="仿宋" w:eastAsia="仿宋_GB2312" w:cs="仿宋"/>
          <w:sz w:val="32"/>
          <w:szCs w:val="32"/>
          <w:highlight w:val="none"/>
          <w:lang w:val="en-US" w:eastAsia="zh-CN"/>
        </w:rPr>
        <w:t>288.41万元，实际支出233.89万元；7.</w:t>
      </w:r>
      <w:r>
        <w:rPr>
          <w:rFonts w:hint="eastAsia" w:ascii="仿宋_GB2312" w:hAnsi="仿宋" w:eastAsia="仿宋_GB2312" w:cs="仿宋"/>
          <w:sz w:val="32"/>
          <w:szCs w:val="32"/>
          <w:highlight w:val="none"/>
        </w:rPr>
        <w:t>图书购置</w:t>
      </w:r>
      <w:r>
        <w:rPr>
          <w:rFonts w:hint="eastAsia" w:ascii="仿宋_GB2312" w:hAnsi="仿宋" w:eastAsia="仿宋_GB2312" w:cs="仿宋"/>
          <w:sz w:val="32"/>
          <w:szCs w:val="32"/>
          <w:highlight w:val="none"/>
          <w:lang w:val="en-US" w:eastAsia="zh-CN"/>
        </w:rPr>
        <w:t>费12万元，实际支出15万元。</w:t>
      </w:r>
    </w:p>
    <w:p>
      <w:pPr>
        <w:spacing w:line="560" w:lineRule="exact"/>
        <w:ind w:firstLine="640" w:firstLineChars="200"/>
        <w:jc w:val="left"/>
        <w:rPr>
          <w:rFonts w:hint="eastAsia" w:ascii="仿宋_GB2312" w:hAnsi="仿宋" w:eastAsia="仿宋_GB2312" w:cs="仿宋"/>
          <w:sz w:val="32"/>
          <w:szCs w:val="32"/>
        </w:rPr>
      </w:pPr>
      <w:r>
        <w:rPr>
          <w:rFonts w:hint="eastAsia" w:ascii="仿宋_GB2312" w:hAnsi="仿宋" w:eastAsia="仿宋_GB2312" w:cs="仿宋"/>
          <w:sz w:val="32"/>
          <w:szCs w:val="32"/>
        </w:rPr>
        <w:t>(三)、专项资金管理情况分析</w:t>
      </w:r>
    </w:p>
    <w:p>
      <w:pPr>
        <w:spacing w:line="560" w:lineRule="exact"/>
        <w:ind w:left="0" w:firstLine="640" w:firstLineChars="200"/>
        <w:jc w:val="left"/>
        <w:rPr>
          <w:rFonts w:hint="eastAsia" w:ascii="仿宋_GB2312" w:hAnsi="仿宋" w:eastAsia="仿宋_GB2312" w:cs="仿宋"/>
          <w:sz w:val="32"/>
          <w:szCs w:val="32"/>
        </w:rPr>
      </w:pPr>
      <w:r>
        <w:rPr>
          <w:rFonts w:hint="eastAsia" w:ascii="仿宋_GB2312" w:hAnsi="仿宋" w:eastAsia="仿宋_GB2312" w:cs="仿宋"/>
          <w:sz w:val="32"/>
          <w:szCs w:val="32"/>
        </w:rPr>
        <w:t>在专项资金使用过程中，我局为切实规范专项资金管理，保障资金安全，高效运行，制定了管理制度，并严格执行相关财务制度，资金拨付严格坚持先做事、后验收、再拨付的原则。</w:t>
      </w:r>
    </w:p>
    <w:p>
      <w:pPr>
        <w:spacing w:line="560" w:lineRule="exact"/>
        <w:ind w:left="0" w:firstLine="640" w:firstLineChars="200"/>
        <w:jc w:val="left"/>
        <w:rPr>
          <w:rFonts w:hint="eastAsia" w:ascii="仿宋_GB2312" w:hAnsi="仿宋" w:eastAsia="仿宋_GB2312" w:cs="仿宋"/>
          <w:sz w:val="32"/>
          <w:szCs w:val="32"/>
        </w:rPr>
      </w:pPr>
      <w:r>
        <w:rPr>
          <w:rFonts w:hint="eastAsia" w:ascii="仿宋_GB2312" w:hAnsi="仿宋" w:eastAsia="仿宋_GB2312" w:cs="仿宋"/>
          <w:sz w:val="32"/>
          <w:szCs w:val="32"/>
        </w:rPr>
        <w:t>（四）、资金绩效自评情况</w:t>
      </w:r>
    </w:p>
    <w:p>
      <w:pPr>
        <w:spacing w:line="560" w:lineRule="exact"/>
        <w:ind w:left="0" w:firstLine="640" w:firstLineChars="200"/>
        <w:jc w:val="left"/>
        <w:rPr>
          <w:rFonts w:hint="eastAsia" w:ascii="仿宋_GB2312" w:hAnsi="仿宋" w:eastAsia="仿宋_GB2312" w:cs="仿宋"/>
          <w:sz w:val="32"/>
          <w:szCs w:val="32"/>
        </w:rPr>
      </w:pPr>
      <w:r>
        <w:rPr>
          <w:rFonts w:hint="eastAsia" w:ascii="仿宋_GB2312" w:hAnsi="仿宋" w:eastAsia="仿宋_GB2312" w:cs="仿宋"/>
          <w:sz w:val="32"/>
          <w:szCs w:val="32"/>
        </w:rPr>
        <w:t>从整体上看，202</w:t>
      </w:r>
      <w:r>
        <w:rPr>
          <w:rFonts w:hint="default" w:ascii="仿宋_GB2312" w:hAnsi="仿宋" w:eastAsia="仿宋_GB2312" w:cs="仿宋"/>
          <w:sz w:val="32"/>
          <w:szCs w:val="32"/>
          <w:lang w:eastAsia="zh-CN"/>
        </w:rPr>
        <w:t>3</w:t>
      </w:r>
      <w:r>
        <w:rPr>
          <w:rFonts w:hint="eastAsia" w:ascii="仿宋_GB2312" w:hAnsi="仿宋" w:eastAsia="仿宋_GB2312" w:cs="仿宋"/>
          <w:sz w:val="32"/>
          <w:szCs w:val="32"/>
        </w:rPr>
        <w:t>年我局资金运行维护决策正确，资金管理规范，项目管理到位，政策执行有力，有效发挥了财政资金的使用效率。在人员经费支出、公共支出严格执行政府的各项制度；在项目经费的使用上，在保证各项任务顺利完成的同时，严格落实厉行节约的原则；三公经费的使用严格控制在预算申报的范围内。</w:t>
      </w:r>
    </w:p>
    <w:p>
      <w:pPr>
        <w:spacing w:line="560" w:lineRule="exact"/>
        <w:ind w:left="0" w:firstLine="640" w:firstLineChars="200"/>
        <w:jc w:val="left"/>
        <w:rPr>
          <w:rFonts w:hint="eastAsia" w:ascii="黑体" w:hAnsi="黑体" w:eastAsia="黑体"/>
          <w:sz w:val="32"/>
          <w:szCs w:val="32"/>
        </w:rPr>
      </w:pPr>
      <w:r>
        <w:rPr>
          <w:rFonts w:hint="eastAsia" w:ascii="仿宋_GB2312" w:hAnsi="仿宋" w:eastAsia="仿宋_GB2312" w:cs="仿宋"/>
          <w:sz w:val="32"/>
          <w:szCs w:val="32"/>
        </w:rPr>
        <w:t>一年来面对严峻复杂的国内外环境、不断加大的经济下行压力的艰巨繁重的发展改革任务，全局干部职工主动适应新常态，妥善应对多重挑战，圆满完成了年度主要目标任务，为全县经济运行稳中有进做出了积极贡献。</w:t>
      </w:r>
    </w:p>
    <w:p>
      <w:pPr>
        <w:spacing w:line="560" w:lineRule="exact"/>
        <w:ind w:left="0" w:firstLine="640" w:firstLineChars="200"/>
        <w:jc w:val="left"/>
        <w:rPr>
          <w:rFonts w:hint="eastAsia" w:ascii="黑体" w:hAnsi="黑体" w:eastAsia="黑体"/>
          <w:sz w:val="32"/>
          <w:szCs w:val="32"/>
        </w:rPr>
      </w:pPr>
      <w:r>
        <w:rPr>
          <w:rFonts w:hint="eastAsia" w:ascii="黑体" w:hAnsi="黑体" w:eastAsia="黑体"/>
          <w:sz w:val="32"/>
          <w:szCs w:val="32"/>
        </w:rPr>
        <w:t>三、存在的问题及原因</w:t>
      </w:r>
    </w:p>
    <w:p>
      <w:pPr>
        <w:spacing w:line="560" w:lineRule="exact"/>
        <w:ind w:left="0" w:firstLine="640" w:firstLineChars="200"/>
        <w:jc w:val="left"/>
        <w:rPr>
          <w:rFonts w:hint="default" w:ascii="仿宋_GB2312" w:eastAsia="仿宋_GB2312"/>
          <w:sz w:val="32"/>
          <w:szCs w:val="32"/>
          <w:lang w:eastAsia="zh-CN"/>
        </w:rPr>
      </w:pPr>
      <w:r>
        <w:rPr>
          <w:rFonts w:hint="default" w:ascii="仿宋_GB2312" w:eastAsia="仿宋_GB2312"/>
          <w:sz w:val="32"/>
          <w:szCs w:val="32"/>
          <w:lang w:eastAsia="zh-CN"/>
        </w:rPr>
        <w:t>无</w:t>
      </w:r>
    </w:p>
    <w:p>
      <w:pPr>
        <w:spacing w:line="560" w:lineRule="exact"/>
        <w:ind w:left="0" w:firstLine="640" w:firstLineChars="200"/>
        <w:jc w:val="left"/>
        <w:rPr>
          <w:rFonts w:hint="eastAsia" w:ascii="黑体" w:hAnsi="黑体" w:eastAsia="黑体"/>
          <w:sz w:val="32"/>
          <w:szCs w:val="32"/>
        </w:rPr>
      </w:pPr>
      <w:r>
        <w:rPr>
          <w:rFonts w:hint="eastAsia" w:ascii="黑体" w:hAnsi="黑体" w:eastAsia="黑体"/>
          <w:sz w:val="32"/>
          <w:szCs w:val="32"/>
        </w:rPr>
        <w:t>四、提高财政资金绩效的措施与建议</w:t>
      </w:r>
    </w:p>
    <w:p>
      <w:pPr>
        <w:spacing w:line="560" w:lineRule="exact"/>
        <w:ind w:firstLine="640" w:firstLineChars="200"/>
        <w:jc w:val="left"/>
        <w:rPr>
          <w:rFonts w:hint="eastAsia" w:ascii="仿宋_GB2312" w:eastAsia="仿宋_GB2312"/>
          <w:sz w:val="32"/>
          <w:szCs w:val="32"/>
        </w:rPr>
      </w:pPr>
      <w:r>
        <w:rPr>
          <w:rFonts w:hint="eastAsia" w:ascii="仿宋_GB2312" w:eastAsia="仿宋_GB2312"/>
          <w:sz w:val="32"/>
          <w:szCs w:val="32"/>
        </w:rPr>
        <w:t>1、规范财务管理，提高财务信息质量。</w:t>
      </w:r>
    </w:p>
    <w:p>
      <w:pPr>
        <w:spacing w:line="560" w:lineRule="exact"/>
        <w:ind w:firstLine="640" w:firstLineChars="200"/>
        <w:jc w:val="left"/>
        <w:rPr>
          <w:rFonts w:hint="eastAsia" w:ascii="仿宋_GB2312" w:eastAsia="仿宋_GB2312"/>
          <w:sz w:val="32"/>
          <w:szCs w:val="32"/>
        </w:rPr>
      </w:pPr>
      <w:r>
        <w:rPr>
          <w:rFonts w:hint="eastAsia" w:ascii="仿宋_GB2312" w:eastAsia="仿宋_GB2312"/>
          <w:sz w:val="32"/>
          <w:szCs w:val="32"/>
        </w:rPr>
        <w:t>2、加强学习和培训、定期开展新制度、新法规学习、培训</w:t>
      </w:r>
    </w:p>
    <w:p>
      <w:pPr>
        <w:spacing w:line="560" w:lineRule="exact"/>
        <w:ind w:firstLine="640" w:firstLineChars="200"/>
        <w:jc w:val="left"/>
        <w:rPr>
          <w:rFonts w:hint="eastAsia" w:ascii="仿宋_GB2312" w:eastAsia="仿宋_GB2312"/>
          <w:sz w:val="32"/>
          <w:szCs w:val="32"/>
        </w:rPr>
      </w:pPr>
      <w:r>
        <w:rPr>
          <w:rFonts w:hint="eastAsia" w:ascii="仿宋_GB2312" w:eastAsia="仿宋_GB2312"/>
          <w:sz w:val="32"/>
          <w:szCs w:val="32"/>
        </w:rPr>
        <w:t>3、加强预算的约束力，细化预算编制工作。进一步加强全局内部机构各股室的预算管理意识，严格按照预算编制的相关制度和要求，编制范围尽可能的全面。严格控制，尽力避免超预算开支的情况，进一步提高预算编制的科学性、合理性和可控性。</w:t>
      </w:r>
    </w:p>
    <w:p>
      <w:pPr>
        <w:spacing w:line="560" w:lineRule="exact"/>
        <w:ind w:left="0" w:firstLine="640" w:firstLineChars="200"/>
        <w:jc w:val="left"/>
        <w:rPr>
          <w:rFonts w:hint="eastAsia" w:ascii="黑体" w:hAnsi="黑体" w:eastAsia="黑体"/>
          <w:sz w:val="32"/>
          <w:szCs w:val="32"/>
        </w:rPr>
      </w:pPr>
      <w:r>
        <w:rPr>
          <w:rFonts w:hint="eastAsia" w:ascii="黑体" w:hAnsi="黑体" w:eastAsia="黑体"/>
          <w:sz w:val="32"/>
          <w:szCs w:val="32"/>
        </w:rPr>
        <w:t>五、附件（佐证依据）</w:t>
      </w:r>
    </w:p>
    <w:p>
      <w:pPr>
        <w:spacing w:line="560" w:lineRule="exact"/>
        <w:ind w:firstLine="640" w:firstLineChars="200"/>
        <w:jc w:val="left"/>
        <w:rPr>
          <w:rFonts w:hint="eastAsia" w:ascii="仿宋_GB2312" w:eastAsia="仿宋_GB2312"/>
          <w:sz w:val="32"/>
          <w:szCs w:val="32"/>
        </w:rPr>
      </w:pPr>
      <w:r>
        <w:rPr>
          <w:rFonts w:hint="eastAsia" w:ascii="仿宋_GB2312" w:eastAsia="仿宋_GB2312"/>
          <w:sz w:val="32"/>
          <w:szCs w:val="32"/>
        </w:rPr>
        <w:t>提供自评报告的有关文件、资料等，以进一步解释和证明报告所反映的相关内容。</w:t>
      </w:r>
    </w:p>
    <w:p>
      <w:pPr>
        <w:spacing w:line="560" w:lineRule="exact"/>
        <w:ind w:firstLine="640" w:firstLineChars="200"/>
        <w:jc w:val="left"/>
        <w:rPr>
          <w:rFonts w:hint="eastAsia" w:ascii="仿宋_GB2312" w:eastAsia="仿宋_GB2312"/>
          <w:sz w:val="32"/>
          <w:szCs w:val="32"/>
        </w:rPr>
      </w:pPr>
      <w:r>
        <w:rPr>
          <w:rFonts w:hint="eastAsia"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2880" w:firstLineChars="900"/>
        <w:jc w:val="left"/>
        <w:textAlignment w:val="bottom"/>
        <w:rPr>
          <w:rFonts w:hint="default" w:ascii="仿宋_GB2312" w:eastAsia="仿宋_GB2312"/>
          <w:sz w:val="32"/>
          <w:szCs w:val="32"/>
          <w:lang w:val="en-US" w:eastAsia="zh-CN"/>
        </w:rPr>
      </w:pPr>
      <w:r>
        <w:rPr>
          <w:rFonts w:hint="eastAsia" w:ascii="仿宋_GB2312" w:eastAsia="仿宋_GB2312"/>
          <w:sz w:val="32"/>
          <w:szCs w:val="32"/>
        </w:rPr>
        <w:t xml:space="preserve"> </w:t>
      </w:r>
      <w:r>
        <w:rPr>
          <w:rFonts w:hint="eastAsia" w:ascii="仿宋_GB2312" w:eastAsia="仿宋_GB2312"/>
          <w:sz w:val="32"/>
          <w:szCs w:val="32"/>
          <w:lang w:val="en-US" w:eastAsia="zh-CN"/>
        </w:rPr>
        <w:t>新晃侗族自治县文化旅游广电体育局</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bottom"/>
      </w:pP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202</w:t>
      </w:r>
      <w:r>
        <w:rPr>
          <w:rFonts w:hint="default" w:ascii="仿宋_GB2312" w:eastAsia="仿宋_GB2312"/>
          <w:sz w:val="32"/>
          <w:szCs w:val="32"/>
          <w:lang w:eastAsia="zh-CN"/>
        </w:rPr>
        <w:t>4</w:t>
      </w:r>
      <w:r>
        <w:rPr>
          <w:rFonts w:hint="eastAsia" w:ascii="仿宋_GB2312" w:eastAsia="仿宋_GB2312"/>
          <w:sz w:val="32"/>
          <w:szCs w:val="32"/>
        </w:rPr>
        <w:t xml:space="preserve">年 </w:t>
      </w:r>
      <w:r>
        <w:rPr>
          <w:rFonts w:hint="default" w:ascii="仿宋_GB2312" w:eastAsia="仿宋_GB2312"/>
          <w:sz w:val="32"/>
          <w:szCs w:val="32"/>
          <w:lang w:eastAsia="zh-CN"/>
        </w:rPr>
        <w:t>4</w:t>
      </w:r>
      <w:r>
        <w:rPr>
          <w:rFonts w:hint="eastAsia" w:ascii="仿宋_GB2312" w:eastAsia="仿宋_GB2312"/>
          <w:sz w:val="32"/>
          <w:szCs w:val="32"/>
        </w:rPr>
        <w:t>月</w:t>
      </w:r>
      <w:r>
        <w:rPr>
          <w:rFonts w:hint="default" w:ascii="仿宋_GB2312" w:eastAsia="仿宋_GB2312"/>
          <w:sz w:val="32"/>
          <w:szCs w:val="32"/>
          <w:lang w:eastAsia="zh-CN"/>
        </w:rPr>
        <w:t>9</w:t>
      </w:r>
      <w:r>
        <w:rPr>
          <w:rFonts w:hint="eastAsia" w:ascii="仿宋_GB2312"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01667"/>
    <w:multiLevelType w:val="singleLevel"/>
    <w:tmpl w:val="98901667"/>
    <w:lvl w:ilvl="0" w:tentative="0">
      <w:start w:val="1"/>
      <w:numFmt w:val="chineseCounting"/>
      <w:suff w:val="nothing"/>
      <w:lvlText w:val="%1、"/>
      <w:lvlJc w:val="left"/>
      <w:pPr>
        <w:ind w:left="651"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OGExNWIxYmYzZDJkNDNjNjIyYmY3YTI4ZmMwOGIifQ=="/>
  </w:docVars>
  <w:rsids>
    <w:rsidRoot w:val="22BA5143"/>
    <w:rsid w:val="05BB42A5"/>
    <w:rsid w:val="064E7481"/>
    <w:rsid w:val="088E2754"/>
    <w:rsid w:val="128D1244"/>
    <w:rsid w:val="144F1CED"/>
    <w:rsid w:val="1597588E"/>
    <w:rsid w:val="1F11282B"/>
    <w:rsid w:val="218D5374"/>
    <w:rsid w:val="22BA5143"/>
    <w:rsid w:val="232C67F1"/>
    <w:rsid w:val="28373807"/>
    <w:rsid w:val="37A83DDA"/>
    <w:rsid w:val="50153B7F"/>
    <w:rsid w:val="584716EE"/>
    <w:rsid w:val="5979517E"/>
    <w:rsid w:val="5F3B7323"/>
    <w:rsid w:val="61B43B55"/>
    <w:rsid w:val="7399224D"/>
    <w:rsid w:val="73BB66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autoRedefine/>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2995</Words>
  <Characters>3112</Characters>
  <Lines>0</Lines>
  <Paragraphs>0</Paragraphs>
  <TotalTime>42</TotalTime>
  <ScaleCrop>false</ScaleCrop>
  <LinksUpToDate>false</LinksUpToDate>
  <CharactersWithSpaces>3160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2023-05-17T02:23:00Z</dcterms:created>
  <dc:creator>wgxj</dc:creator>
  <cp:lastModifiedBy>Administrator</cp:lastModifiedBy>
  <cp:lastPrinted>2024-04-19T01:48:50Z</cp:lastPrinted>
  <dcterms:modified xsi:type="dcterms:W3CDTF">2024-04-19T02:20:42Z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330E9681C4C04C31A102C73267AD1AFF_13</vt:lpwstr>
  </property>
</Properties>
</file>