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57" w:afterLines="50" w:afterAutospacing="0" w:line="560" w:lineRule="exact"/>
        <w:ind w:left="0"/>
        <w:jc w:val="left"/>
        <w:textAlignment w:val="bottom"/>
        <w:rPr>
          <w:rFonts w:hint="default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附件2-1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/>
        <w:jc w:val="center"/>
        <w:textAlignment w:val="bottom"/>
        <w:rPr>
          <w:rFonts w:ascii="黑体" w:hAnsi="黑体" w:eastAsia="黑体"/>
          <w:bCs/>
          <w:w w:val="85"/>
          <w:sz w:val="36"/>
          <w:szCs w:val="36"/>
        </w:rPr>
      </w:pPr>
      <w:r>
        <w:rPr>
          <w:rFonts w:ascii="黑体" w:hAnsi="黑体" w:eastAsia="黑体"/>
          <w:bCs/>
          <w:w w:val="85"/>
          <w:sz w:val="36"/>
          <w:szCs w:val="36"/>
        </w:rPr>
        <w:t>2022年度新晃县项目</w:t>
      </w:r>
      <w:r>
        <w:rPr>
          <w:rFonts w:hint="eastAsia" w:ascii="黑体" w:hAnsi="黑体" w:eastAsia="黑体"/>
          <w:bCs/>
          <w:w w:val="85"/>
          <w:sz w:val="36"/>
          <w:szCs w:val="36"/>
        </w:rPr>
        <w:t>支出</w:t>
      </w:r>
      <w:r>
        <w:rPr>
          <w:rFonts w:ascii="黑体" w:hAnsi="黑体" w:eastAsia="黑体"/>
          <w:bCs/>
          <w:w w:val="85"/>
          <w:sz w:val="36"/>
          <w:szCs w:val="36"/>
        </w:rPr>
        <w:t>绩效</w:t>
      </w:r>
      <w:r>
        <w:rPr>
          <w:rFonts w:hint="eastAsia" w:ascii="黑体" w:hAnsi="黑体" w:eastAsia="黑体"/>
          <w:bCs/>
          <w:w w:val="85"/>
          <w:sz w:val="36"/>
          <w:szCs w:val="36"/>
        </w:rPr>
        <w:t>自评</w:t>
      </w:r>
      <w:r>
        <w:rPr>
          <w:rFonts w:ascii="黑体" w:hAnsi="黑体" w:eastAsia="黑体"/>
          <w:bCs/>
          <w:w w:val="85"/>
          <w:sz w:val="36"/>
          <w:szCs w:val="36"/>
        </w:rPr>
        <w:t>表</w:t>
      </w:r>
    </w:p>
    <w:p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</w:t>
      </w:r>
      <w:r>
        <w:rPr>
          <w:rFonts w:hint="eastAsia"/>
          <w:sz w:val="24"/>
        </w:rPr>
        <w:t xml:space="preserve">    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eastAsia="仿宋_GB2312"/>
          <w:szCs w:val="21"/>
        </w:rPr>
        <w:t>金额单位：万元</w:t>
      </w:r>
    </w:p>
    <w:tbl>
      <w:tblPr>
        <w:tblStyle w:val="3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2568"/>
        <w:gridCol w:w="945"/>
        <w:gridCol w:w="1012"/>
        <w:gridCol w:w="1206"/>
        <w:gridCol w:w="832"/>
        <w:gridCol w:w="870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称</w:t>
            </w:r>
          </w:p>
        </w:tc>
        <w:tc>
          <w:tcPr>
            <w:tcW w:w="3711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both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新晃侗族自治县文化旅游广电体育局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ab/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              </w:t>
            </w:r>
          </w:p>
        </w:tc>
        <w:tc>
          <w:tcPr>
            <w:tcW w:w="94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3920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清匪反霸、龙溪会馆、三益盐店、临阳公栈及唐伯庚故居免费开放经费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3711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新晃侗族自治县文化旅游广电体育局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ab/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 </w:t>
            </w:r>
          </w:p>
        </w:tc>
        <w:tc>
          <w:tcPr>
            <w:tcW w:w="94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杨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长波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6222245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256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94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218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256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30</w:t>
            </w:r>
          </w:p>
        </w:tc>
        <w:tc>
          <w:tcPr>
            <w:tcW w:w="94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2218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25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83%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本项目预算编制科学、规范、合理，预期绩效目标申报完整，产出、效果类关键性指标清晰、明确、量化，投入与项目产出、效果目标匹配。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83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%。根据实际情况评分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8.3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本项目建立了清匪反霸、龙溪会馆、三益盐店、临阳公栈及唐伯庚故居免费开放项目管理制度，并严格按相关制度执行。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我局严格按照县财政相关政策制度管理、使用各项资金，并根据《会计法》、《预算法》等法规制订了单位财务管理、办公物资采购管理、固定资产管理等多项财务规章制度，专项资金的开支，均需要各部门严格控制，层层审批，确保专款专用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数量指标：展品数量≥20件；展览面积≥1000㎡；展览次数≥300次；观展人数≥5万人；主题展览天数≥20天；开放主题活动次数≥20次；</w:t>
            </w: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质量指标：正常开馆率≥90%，藏品安全保障率≥90%；</w:t>
            </w: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时效指标年度正常开馆时间≥300天；</w:t>
            </w: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成本指标：场地租赁及劳务成本≤23万元。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28.8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社会效益指标:完成新晃民间民族文化保护和宣传工作；扩大新晃知名度、影响力;</w:t>
            </w: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生态效益指标:免费开放无垃圾、无噪音、无固废；</w:t>
            </w: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可持续影响指标：加强文化文物事业发展；社会公众或服务对象满意度指标：投诉率≤10%。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19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服务对象满意度计分：90%≤满意度≤100%记10分，80%≤满意度&lt;90%记8分，70%≤满意度&lt;80%   记6分，</w:t>
            </w: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60%≤满意度&lt;70%记4分，满意度&lt;60%记0分。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3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96.1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96.1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☑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优秀  90分≤得分≤100分；  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 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分； 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□ 差   得分＜60分</w:t>
            </w:r>
          </w:p>
        </w:tc>
      </w:tr>
    </w:tbl>
    <w:p>
      <w:pPr>
        <w:spacing w:line="320" w:lineRule="exact"/>
        <w:ind w:left="0"/>
        <w:jc w:val="left"/>
        <w:rPr>
          <w:rFonts w:hint="eastAsia"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 xml:space="preserve">单位负责人（签字）：            项目负责人（签字）：     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Cs w:val="21"/>
        </w:rPr>
        <w:t xml:space="preserve">   填表日期： 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Cs w:val="21"/>
        </w:rPr>
        <w:t xml:space="preserve"> 年   月   日</w:t>
      </w:r>
    </w:p>
    <w:p>
      <w:pPr>
        <w:ind w:left="0" w:leftChars="0" w:firstLine="0" w:firstLineChars="0"/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748" w:firstLineChars="200"/>
        <w:jc w:val="center"/>
        <w:rPr>
          <w:rFonts w:hint="eastAsia" w:ascii="黑体" w:hAnsi="黑体" w:eastAsia="黑体"/>
          <w:bCs/>
          <w:w w:val="85"/>
          <w:sz w:val="36"/>
          <w:szCs w:val="36"/>
        </w:rPr>
      </w:pPr>
      <w:r>
        <w:rPr>
          <w:rFonts w:eastAsia="黑体"/>
          <w:bCs/>
          <w:w w:val="85"/>
          <w:sz w:val="44"/>
          <w:szCs w:val="44"/>
        </w:rPr>
        <w:t> </w:t>
      </w:r>
      <w:r>
        <w:rPr>
          <w:rFonts w:ascii="黑体" w:hAnsi="黑体" w:eastAsia="黑体"/>
          <w:bCs/>
          <w:w w:val="85"/>
          <w:sz w:val="36"/>
          <w:szCs w:val="36"/>
        </w:rPr>
        <w:t>2022年度新晃县</w:t>
      </w:r>
      <w:r>
        <w:rPr>
          <w:rFonts w:hint="eastAsia" w:ascii="黑体" w:hAnsi="黑体" w:eastAsia="黑体"/>
          <w:bCs/>
          <w:w w:val="85"/>
          <w:sz w:val="36"/>
          <w:szCs w:val="36"/>
        </w:rPr>
        <w:t>项目</w:t>
      </w:r>
      <w:r>
        <w:rPr>
          <w:rFonts w:ascii="黑体" w:hAnsi="黑体" w:eastAsia="黑体"/>
          <w:bCs/>
          <w:w w:val="85"/>
          <w:sz w:val="36"/>
          <w:szCs w:val="36"/>
        </w:rPr>
        <w:t>支出</w:t>
      </w:r>
      <w:r>
        <w:rPr>
          <w:rFonts w:hint="eastAsia" w:ascii="黑体" w:hAnsi="黑体" w:eastAsia="黑体"/>
          <w:bCs/>
          <w:w w:val="85"/>
          <w:sz w:val="36"/>
          <w:szCs w:val="36"/>
        </w:rPr>
        <w:t>绩效</w:t>
      </w:r>
      <w:r>
        <w:rPr>
          <w:rFonts w:ascii="黑体" w:hAnsi="黑体" w:eastAsia="黑体"/>
          <w:bCs/>
          <w:w w:val="85"/>
          <w:sz w:val="36"/>
          <w:szCs w:val="36"/>
        </w:rPr>
        <w:t>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一、基本情况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（一）项目概况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清匪反霸、龙溪会馆、三益盐店、临阳公栈及唐伯庚故居作为新晃县特色旅游文化景点，不仅见证了新晃历史的发展，同时也是新晃县民族民间特色文化的保护和传承的重要载体。如何保护这些历史名迹，同时保证场馆的正常开放意义重大。在相关领导的高度重视下，开展了清匪反霸、龙溪会馆、三益盐店、临阳公栈及唐伯庚故居免费开放项目，有利于弘扬新晃县民族民间传统文化，展示艺术特色。清匪反霸、龙溪会馆、三益盐店、临阳公栈及唐伯庚故居成为我县一张充满民族特色的文化“名片”，该项目传承和发展新晃民间传统历史文化，拉动旅游增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项目资金用于清匪反霸、龙溪会馆、三益盐店、临阳公栈及唐伯庚故居日常维护以及免费开放人员工资、设施维修、日常管理、展览活动等；民族民间传统重大项目的保护、研究和展示；抢救濒危的民族民间传统文化民族民间传统文化节会活动、乡镇民间工艺传承项目支持；传统文化资料和文化研究成果收集成册和出版；新晃民族民间传统文化对外宣传推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该项目资金于2022年1月14日到位30万元。截至2022年12月31日，用于清匪反霸、龙溪会馆、三益盐店、临阳公栈及唐伯庚故居免费开放资金25万元。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（二）项目绩效目标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为做好公益性场馆的免费开放工作，保护好这一文化资源，更好地加强文化软实力建设，繁荣我县文化事业，打造新晃“名片”。阶段性目标为免费开放天数300天以上，举办相关主题活动20次以上，人民群众满意率达到98.0%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二、绩效评价工作开展情况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（一）绩效评价目的、对象和范围。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绩效评价目的：为了确保全部预算资金在一定期限内达到预期的产出和效果。绩效评价对象：清匪反霸、龙溪会馆、三益盐店、临阳公栈及唐伯庚故居免费开放项目。绩效评价范围：预期产出指标，包括数量、质量、时效和成本等；预期绩效：包括经济效益、社会效益、生态效益、可持续影响、社会公众和服务对象满意度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（二）绩效评价原则、评价指标体系（附表说明）、评价方法、评价标准等。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次绩效评价采用自评的方式，遵循客观公正、公开透明的原则，以材料核查、访谈、座谈、问卷调查、选点抽查为基础，综合运用对比分析等方法，从决策、管理、产出、效益四个方面对项目资金的使用管理、综合效益等内容进行评价（评价指标体系详见附表）。绩效评价等级设置为优秀、良好、较差、差四级，其中，大于或等于90分的为优、80分（含）至90分的为良、60分（含）至80分的为中、小于60分的为差绩效评价工作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（三）绩效评价工作过程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根据《湖南省预算支出绩效评价管理办法》（湘财绩〔2020〕7号）和《新晃侗族自治县财政局关于开展2022年度部门预算支出绩效自评工作的通知》（晃财绩〔2023〕24号）等文件要求，我单位成立了绩效自评工作小组，对体清匪反霸、龙溪会馆、三益盐店、临阳公栈及唐伯庚故居免费开放经费项目支出开展了绩效自评工作。组织人员收集项目资料，检查会计凭证，在规定的时间内，对项目的实施过程进行了全面、科学、细致的评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三、综合评价情况及评价结论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本次自评，对照项目绩效目标，从项目预算编制、项目组织管理、资金使用、项目产出、项目效益、满意度等方面逐一分析评价，总体自评得分96.1分，绩效评价等级为“优”。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四、绩效评价指标分析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（一）项目决策情况。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1、确定项目决策的范畴：根据项目的阶段和内容，确定哪些方面的决策需要被记录和总结，包括目标、资源、进度、风险等方面。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br w:type="textWrapping"/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2、梳理并整理决策信息：收集和整理涉及到的各种决策信息，包括决策的时间、主要内容、影响因素和决策结果等方面。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br w:type="textWrapping"/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3、分析和评价决策效果：对每一项决策进行分析和评价，考察其是否符合预期目标，产生积极的效果，以及存在的问题和不足之处等。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（二）项目过程情况。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严格执行项目活动申报、审核、拨付、管理等全过程，实行了全面负责。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（三）项目产出情况。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数量指标：展品数量≥20件；展览面积≥1000㎡；展览次数≥300次；观展人数≥5万人；主题展览天数≥20天；开放主题活动次数≥20次；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质量指标：正常开馆率≥90%，藏品安全保障率≥90%；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时效指标年度正常开馆时间≥300天；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成本指标：场地租赁及劳务成本≤23万元。项目效益情况。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（四）项目效益情况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社会效益指标:完成新晃民间民族文化保护和宣传工作；扩大新晃知名度、影响力;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可持续影响指标：加强文化文物事业发展；社会公众或服务对象满意度指标：投诉率≤10%。。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五、主要经验及做法、存在的问题及原因分析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六、有关建议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七、其他需要说明的问题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受疫情影响，相关财务报账工作延迟，待验收完成后再进项相关报账流程。建议加快并合理、合法、规范的使用项目资金，使其尽快发挥作用，产生效益。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新晃侗族自治县文化旅游广电体育局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4480" w:firstLineChars="1400"/>
        <w:jc w:val="left"/>
        <w:textAlignment w:val="bottom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2023年5月18日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400" w:firstLineChars="200"/>
      </w:pPr>
    </w:p>
    <w:p>
      <w:pPr>
        <w:ind w:left="0" w:leftChars="0" w:firstLine="0" w:firstLineChars="0"/>
      </w:pPr>
    </w:p>
    <w:sectPr>
      <w:pgSz w:w="11906" w:h="16838"/>
      <w:pgMar w:top="1440" w:right="1800" w:bottom="1157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0NjBiODJhOTcwOGY1MjcwZTQ5NjQ5OGRlOWNkMDUifQ=="/>
  </w:docVars>
  <w:rsids>
    <w:rsidRoot w:val="4CDE63FB"/>
    <w:rsid w:val="03C6756F"/>
    <w:rsid w:val="103507FE"/>
    <w:rsid w:val="10E2592F"/>
    <w:rsid w:val="1453418A"/>
    <w:rsid w:val="1A6655DF"/>
    <w:rsid w:val="28253022"/>
    <w:rsid w:val="38C5480B"/>
    <w:rsid w:val="39CC4FBC"/>
    <w:rsid w:val="4CDE63FB"/>
    <w:rsid w:val="4D5C093D"/>
    <w:rsid w:val="4D5C3E9A"/>
    <w:rsid w:val="5FBF1A84"/>
    <w:rsid w:val="60325913"/>
    <w:rsid w:val="64D504B3"/>
    <w:rsid w:val="64E8011D"/>
    <w:rsid w:val="6A510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paragraph" w:customStyle="1" w:styleId="5">
    <w:name w:val="BodyText1I"/>
    <w:basedOn w:val="1"/>
    <w:qFormat/>
    <w:uiPriority w:val="99"/>
    <w:pPr>
      <w:snapToGrid w:val="0"/>
      <w:spacing w:line="360" w:lineRule="auto"/>
      <w:ind w:firstLine="420" w:firstLineChars="100"/>
    </w:pPr>
    <w:rPr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2793</Words>
  <Characters>2962</Characters>
  <Lines>0</Lines>
  <Paragraphs>0</Paragraphs>
  <TotalTime>6</TotalTime>
  <ScaleCrop>false</ScaleCrop>
  <LinksUpToDate>false</LinksUpToDate>
  <CharactersWithSpaces>3154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2023-05-10T03:34:00Z</dcterms:created>
  <dc:creator>wgxj</dc:creator>
  <cp:lastModifiedBy>是我呀</cp:lastModifiedBy>
  <cp:lastPrinted>2023-05-26T02:12:33Z</cp:lastPrinted>
  <dcterms:modified xsi:type="dcterms:W3CDTF">2023-05-26T02:13:40Z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FCB1019A5D9545C291381EB8D5BB189D_11</vt:lpwstr>
  </property>
</Properties>
</file>