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44"/>
          <w:szCs w:val="44"/>
          <w:lang w:val="en-US" w:eastAsia="zh-CN"/>
        </w:rPr>
        <w:t>2021年绩效评价工作开展情况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default" w:cs="黑体" w:asciiTheme="minorEastAsia" w:hAnsiTheme="minorEastAsia"/>
          <w:b/>
          <w:color w:val="000000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（1）绩效管理评价工作开展情况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根据预算绩效管理要求，我部门组织对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2021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年度一般公共预算项目支出全面开展绩效自评，其中，一级项目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个，二级项目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543.66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万元，占一般公共预算项目支出总额的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。组织对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2021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体育彩票公益金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个政府性基金预算项目支出开展绩效自评，共涉及资金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173.37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万元，占政府性基金预算项目支出总额的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%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文化创作与保护资金项目、文化旅游建设项目、体育彩票公益金项目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个项目开展了部门评价，涉及一般公共预算支出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425.8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173.37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万元，国有资本经营预算支出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 xml:space="preserve"> 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万元。从评价情况来看，我局为切实规范专项资金管理，保障资金安全，高效运行，制定了管理制度，并严格执行相关财务制度，资金拨付严格坚持先做事、后验收、再拨付的原则。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组织对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我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单位开展整体支出绩效评价，涉及一般公共预算支出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1114.91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万元，政府性基金预算支出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173.37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。从评价情况来看，资金运行维护决策正确，资金管理规范，项目管理到位，政策执行有力，有效发挥了财政资金的使用效率。在人员经费支出、公共支出严格执行政府的各项制度；在项目经费的使用上，在保证各项任务顺利完成的同时，严格落实厉行节约的原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mRlNmNiNTlmNTNjYmRlZDBmODBkZjQxZDU5YTUifQ=="/>
  </w:docVars>
  <w:rsids>
    <w:rsidRoot w:val="3E3F289E"/>
    <w:rsid w:val="13811740"/>
    <w:rsid w:val="171A1085"/>
    <w:rsid w:val="3E3F289E"/>
    <w:rsid w:val="72B1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771</Characters>
  <Lines>0</Lines>
  <Paragraphs>0</Paragraphs>
  <TotalTime>1</TotalTime>
  <ScaleCrop>false</ScaleCrop>
  <LinksUpToDate>false</LinksUpToDate>
  <CharactersWithSpaces>797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2022-09-02T01:33:00Z</dcterms:created>
  <dc:creator>WPS_1528160668</dc:creator>
  <cp:lastModifiedBy>Administrator</cp:lastModifiedBy>
  <dcterms:modified xsi:type="dcterms:W3CDTF">2022-09-17T02:23:19Z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94ADC13DDF554057A6CA35CE7F09F4A4</vt:lpwstr>
  </property>
</Properties>
</file>