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240" w:lineRule="exact"/>
        <w:jc w:val="left"/>
        <w:rPr>
          <w:rFonts w:ascii="仿宋_GB2312" w:hAnsi="仿宋_GB2312" w:eastAsia="仿宋_GB2312" w:cs="仿宋_GB2312"/>
          <w:sz w:val="24"/>
        </w:rPr>
      </w:pPr>
      <w:r>
        <w:rPr>
          <w:rFonts w:hint="eastAsia" w:ascii="仿宋_GB2312" w:hAnsi="仿宋_GB2312" w:eastAsia="仿宋_GB2312" w:cs="仿宋_GB2312"/>
          <w:sz w:val="24"/>
        </w:rPr>
        <w:t>附件1-1</w:t>
      </w:r>
    </w:p>
    <w:p>
      <w:pPr>
        <w:spacing w:line="480" w:lineRule="exact"/>
        <w:jc w:val="center"/>
        <w:rPr>
          <w:rFonts w:eastAsia="方正粗宋简体"/>
          <w:w w:val="85"/>
          <w:kern w:val="0"/>
          <w:sz w:val="44"/>
          <w:szCs w:val="44"/>
        </w:rPr>
      </w:pPr>
      <w:r>
        <w:rPr>
          <w:rFonts w:eastAsia="方正粗宋简体"/>
          <w:w w:val="85"/>
          <w:kern w:val="0"/>
          <w:sz w:val="44"/>
          <w:szCs w:val="44"/>
        </w:rPr>
        <w:t>20</w:t>
      </w:r>
      <w:r>
        <w:rPr>
          <w:rFonts w:hint="eastAsia" w:eastAsia="方正粗宋简体"/>
          <w:w w:val="85"/>
          <w:kern w:val="0"/>
          <w:sz w:val="44"/>
          <w:szCs w:val="44"/>
        </w:rPr>
        <w:t>20</w:t>
      </w:r>
      <w:r>
        <w:rPr>
          <w:rFonts w:hAnsi="方正粗宋简体" w:eastAsia="方正粗宋简体"/>
          <w:w w:val="85"/>
          <w:kern w:val="0"/>
          <w:sz w:val="44"/>
          <w:szCs w:val="44"/>
        </w:rPr>
        <w:t>年度新晃侗族自治县财政支出项目绩效评分表</w:t>
      </w:r>
    </w:p>
    <w:p>
      <w:pPr>
        <w:spacing w:beforeLines="50" w:line="240" w:lineRule="exact"/>
        <w:ind w:firstLine="482"/>
        <w:jc w:val="center"/>
        <w:rPr>
          <w:rFonts w:eastAsia="仿宋_GB2312"/>
          <w:kern w:val="0"/>
          <w:szCs w:val="21"/>
        </w:rPr>
      </w:pPr>
      <w:r>
        <w:rPr>
          <w:kern w:val="0"/>
          <w:sz w:val="24"/>
        </w:rPr>
        <w:t xml:space="preserve">                                                  </w:t>
      </w:r>
      <w:r>
        <w:rPr>
          <w:rFonts w:eastAsia="仿宋_GB2312"/>
          <w:kern w:val="0"/>
          <w:szCs w:val="21"/>
        </w:rPr>
        <w:t>金额单位：万元</w:t>
      </w:r>
    </w:p>
    <w:tbl>
      <w:tblPr>
        <w:tblStyle w:val="5"/>
        <w:tblpPr w:leftFromText="180" w:rightFromText="180" w:vertAnchor="text" w:horzAnchor="page" w:tblpX="1594" w:tblpY="107"/>
        <w:tblOverlap w:val="never"/>
        <w:tblW w:w="9279"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3"/>
        <w:gridCol w:w="1356"/>
        <w:gridCol w:w="1307"/>
        <w:gridCol w:w="1339"/>
        <w:gridCol w:w="1666"/>
        <w:gridCol w:w="1084"/>
        <w:gridCol w:w="122"/>
        <w:gridCol w:w="758"/>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blCellSpacing w:w="0" w:type="dxa"/>
        </w:trPr>
        <w:tc>
          <w:tcPr>
            <w:tcW w:w="913"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项目单位</w:t>
            </w:r>
          </w:p>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名称</w:t>
            </w:r>
          </w:p>
        </w:tc>
        <w:tc>
          <w:tcPr>
            <w:tcW w:w="2663" w:type="dxa"/>
            <w:gridSpan w:val="2"/>
            <w:tcMar>
              <w:top w:w="0" w:type="dxa"/>
              <w:left w:w="105" w:type="dxa"/>
              <w:bottom w:w="0" w:type="dxa"/>
              <w:right w:w="105" w:type="dxa"/>
            </w:tcMar>
            <w:vAlign w:val="center"/>
          </w:tcPr>
          <w:p>
            <w:pPr>
              <w:spacing w:line="32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新晃侗族自治县文化旅游广电体育局</w:t>
            </w:r>
          </w:p>
        </w:tc>
        <w:tc>
          <w:tcPr>
            <w:tcW w:w="1339"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项目名称</w:t>
            </w:r>
          </w:p>
        </w:tc>
        <w:tc>
          <w:tcPr>
            <w:tcW w:w="4364" w:type="dxa"/>
            <w:gridSpan w:val="5"/>
            <w:tcMar>
              <w:top w:w="0" w:type="dxa"/>
              <w:left w:w="105" w:type="dxa"/>
              <w:bottom w:w="0" w:type="dxa"/>
              <w:right w:w="105" w:type="dxa"/>
            </w:tcMar>
            <w:vAlign w:val="center"/>
          </w:tcPr>
          <w:p>
            <w:pPr>
              <w:spacing w:line="320" w:lineRule="exact"/>
              <w:rPr>
                <w:rFonts w:ascii="仿宋_GB2312" w:hAnsi="仿宋_GB2312" w:eastAsia="仿宋" w:cs="仿宋_GB2312"/>
                <w:kern w:val="0"/>
                <w:szCs w:val="21"/>
              </w:rPr>
            </w:pPr>
            <w:r>
              <w:rPr>
                <w:rFonts w:hint="eastAsia" w:ascii="仿宋" w:hAnsi="仿宋" w:eastAsia="仿宋" w:cs="仿宋"/>
                <w:kern w:val="0"/>
                <w:szCs w:val="21"/>
              </w:rPr>
              <w:t>2020年</w:t>
            </w:r>
            <w:r>
              <w:rPr>
                <w:rFonts w:hint="eastAsia" w:ascii="仿宋" w:hAnsi="仿宋" w:eastAsia="仿宋" w:cs="仿宋"/>
                <w:szCs w:val="21"/>
              </w:rPr>
              <w:t>《新晃侗族自治县民族民间传统文化保护条例》资金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blCellSpacing w:w="0" w:type="dxa"/>
        </w:trPr>
        <w:tc>
          <w:tcPr>
            <w:tcW w:w="913"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w:t>
            </w:r>
          </w:p>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责任部门</w:t>
            </w:r>
          </w:p>
        </w:tc>
        <w:tc>
          <w:tcPr>
            <w:tcW w:w="2663" w:type="dxa"/>
            <w:gridSpan w:val="2"/>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新晃侗族自治县文化旅游广电体育局</w:t>
            </w:r>
          </w:p>
        </w:tc>
        <w:tc>
          <w:tcPr>
            <w:tcW w:w="1339"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项目负责人</w:t>
            </w:r>
          </w:p>
        </w:tc>
        <w:tc>
          <w:tcPr>
            <w:tcW w:w="1666"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周志红</w:t>
            </w:r>
          </w:p>
        </w:tc>
        <w:tc>
          <w:tcPr>
            <w:tcW w:w="1084"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联系</w:t>
            </w:r>
          </w:p>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电话</w:t>
            </w:r>
          </w:p>
        </w:tc>
        <w:tc>
          <w:tcPr>
            <w:tcW w:w="1614" w:type="dxa"/>
            <w:gridSpan w:val="3"/>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blCellSpacing w:w="0" w:type="dxa"/>
        </w:trPr>
        <w:tc>
          <w:tcPr>
            <w:tcW w:w="913" w:type="dxa"/>
            <w:vMerge w:val="restart"/>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w:t>
            </w:r>
          </w:p>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基本</w:t>
            </w:r>
          </w:p>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情况</w:t>
            </w:r>
          </w:p>
        </w:tc>
        <w:tc>
          <w:tcPr>
            <w:tcW w:w="1356"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上年</w:t>
            </w:r>
          </w:p>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结转</w:t>
            </w:r>
          </w:p>
        </w:tc>
        <w:tc>
          <w:tcPr>
            <w:tcW w:w="1307"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年初预算安排数</w:t>
            </w:r>
          </w:p>
        </w:tc>
        <w:tc>
          <w:tcPr>
            <w:tcW w:w="1339"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预算调整数</w:t>
            </w:r>
          </w:p>
        </w:tc>
        <w:tc>
          <w:tcPr>
            <w:tcW w:w="1666"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财政支付数</w:t>
            </w:r>
          </w:p>
        </w:tc>
        <w:tc>
          <w:tcPr>
            <w:tcW w:w="2698" w:type="dxa"/>
            <w:gridSpan w:val="4"/>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预算结余数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blCellSpacing w:w="0" w:type="dxa"/>
        </w:trPr>
        <w:tc>
          <w:tcPr>
            <w:tcW w:w="913" w:type="dxa"/>
            <w:vMerge w:val="continue"/>
            <w:vAlign w:val="center"/>
          </w:tcPr>
          <w:p>
            <w:pPr>
              <w:spacing w:line="320" w:lineRule="exact"/>
              <w:jc w:val="center"/>
              <w:rPr>
                <w:rFonts w:ascii="仿宋_GB2312" w:hAnsi="仿宋_GB2312" w:eastAsia="仿宋_GB2312" w:cs="仿宋_GB2312"/>
                <w:kern w:val="0"/>
                <w:szCs w:val="21"/>
              </w:rPr>
            </w:pPr>
          </w:p>
        </w:tc>
        <w:tc>
          <w:tcPr>
            <w:tcW w:w="1356"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0</w:t>
            </w:r>
          </w:p>
        </w:tc>
        <w:tc>
          <w:tcPr>
            <w:tcW w:w="1307"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139.08</w:t>
            </w:r>
          </w:p>
        </w:tc>
        <w:tc>
          <w:tcPr>
            <w:tcW w:w="1339"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0</w:t>
            </w:r>
          </w:p>
        </w:tc>
        <w:tc>
          <w:tcPr>
            <w:tcW w:w="1666"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0</w:t>
            </w:r>
          </w:p>
        </w:tc>
        <w:tc>
          <w:tcPr>
            <w:tcW w:w="2698" w:type="dxa"/>
            <w:gridSpan w:val="4"/>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tblCellSpacing w:w="0" w:type="dxa"/>
        </w:trPr>
        <w:tc>
          <w:tcPr>
            <w:tcW w:w="913"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评价内容</w:t>
            </w:r>
          </w:p>
        </w:tc>
        <w:tc>
          <w:tcPr>
            <w:tcW w:w="1356"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分值</w:t>
            </w:r>
          </w:p>
        </w:tc>
        <w:tc>
          <w:tcPr>
            <w:tcW w:w="5518" w:type="dxa"/>
            <w:gridSpan w:val="5"/>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评价简述</w:t>
            </w:r>
          </w:p>
        </w:tc>
        <w:tc>
          <w:tcPr>
            <w:tcW w:w="758"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自评得分</w:t>
            </w:r>
          </w:p>
        </w:tc>
        <w:tc>
          <w:tcPr>
            <w:tcW w:w="734"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复评得分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1" w:hRule="atLeast"/>
          <w:tblCellSpacing w:w="0" w:type="dxa"/>
        </w:trPr>
        <w:tc>
          <w:tcPr>
            <w:tcW w:w="91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项目预算及预期绩效目标编制水平</w:t>
            </w:r>
          </w:p>
        </w:tc>
        <w:tc>
          <w:tcPr>
            <w:tcW w:w="1356"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w:t>
            </w:r>
          </w:p>
        </w:tc>
        <w:tc>
          <w:tcPr>
            <w:tcW w:w="5518" w:type="dxa"/>
            <w:gridSpan w:val="5"/>
            <w:tcMar>
              <w:top w:w="0" w:type="dxa"/>
              <w:left w:w="105" w:type="dxa"/>
              <w:bottom w:w="0" w:type="dxa"/>
              <w:right w:w="105" w:type="dxa"/>
            </w:tcMar>
            <w:vAlign w:val="center"/>
          </w:tcPr>
          <w:p>
            <w:pPr>
              <w:spacing w:line="300" w:lineRule="exact"/>
              <w:rPr>
                <w:rFonts w:ascii="仿宋_GB2312" w:hAnsi="仿宋_GB2312" w:eastAsia="仿宋_GB2312" w:cs="仿宋_GB2312"/>
                <w:kern w:val="0"/>
                <w:szCs w:val="21"/>
              </w:rPr>
            </w:pPr>
            <w:r>
              <w:rPr>
                <w:rFonts w:hint="eastAsia" w:ascii="仿宋" w:hAnsi="仿宋" w:eastAsia="仿宋" w:cs="仿宋"/>
                <w:szCs w:val="21"/>
              </w:rPr>
              <w:t>2020年《新晃侗族自治县民族民间传统文化保护条例》资金</w:t>
            </w:r>
            <w:r>
              <w:rPr>
                <w:rFonts w:hint="eastAsia" w:ascii="仿宋_GB2312" w:hAnsi="仿宋_GB2312" w:eastAsia="仿宋_GB2312" w:cs="仿宋_GB2312"/>
                <w:kern w:val="0"/>
                <w:szCs w:val="21"/>
              </w:rPr>
              <w:t>预算编制科学、规范、合理，预期绩效目标申报完整，产出、效果类关键性指标清晰、明确、量化，投入与项目产出、效果目标匹配。</w:t>
            </w:r>
          </w:p>
        </w:tc>
        <w:tc>
          <w:tcPr>
            <w:tcW w:w="758"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w:t>
            </w:r>
          </w:p>
        </w:tc>
        <w:tc>
          <w:tcPr>
            <w:tcW w:w="734"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7" w:hRule="atLeast"/>
          <w:tblCellSpacing w:w="0" w:type="dxa"/>
        </w:trPr>
        <w:tc>
          <w:tcPr>
            <w:tcW w:w="91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预算执行率</w:t>
            </w:r>
          </w:p>
        </w:tc>
        <w:tc>
          <w:tcPr>
            <w:tcW w:w="1356"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w:t>
            </w:r>
          </w:p>
        </w:tc>
        <w:tc>
          <w:tcPr>
            <w:tcW w:w="5518" w:type="dxa"/>
            <w:gridSpan w:val="5"/>
            <w:tcMar>
              <w:top w:w="0" w:type="dxa"/>
              <w:left w:w="105" w:type="dxa"/>
              <w:bottom w:w="0" w:type="dxa"/>
              <w:right w:w="105" w:type="dxa"/>
            </w:tcMar>
            <w:vAlign w:val="center"/>
          </w:tcPr>
          <w:p>
            <w:pPr>
              <w:spacing w:line="30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该项目预算执行率为100%。</w:t>
            </w:r>
          </w:p>
        </w:tc>
        <w:tc>
          <w:tcPr>
            <w:tcW w:w="758"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w:t>
            </w:r>
          </w:p>
        </w:tc>
        <w:tc>
          <w:tcPr>
            <w:tcW w:w="734"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blCellSpacing w:w="0" w:type="dxa"/>
        </w:trPr>
        <w:tc>
          <w:tcPr>
            <w:tcW w:w="91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项目组织管理水平</w:t>
            </w:r>
          </w:p>
        </w:tc>
        <w:tc>
          <w:tcPr>
            <w:tcW w:w="1356"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15</w:t>
            </w:r>
          </w:p>
        </w:tc>
        <w:tc>
          <w:tcPr>
            <w:tcW w:w="5518" w:type="dxa"/>
            <w:gridSpan w:val="5"/>
            <w:tcMar>
              <w:top w:w="0" w:type="dxa"/>
              <w:left w:w="105" w:type="dxa"/>
              <w:bottom w:w="0" w:type="dxa"/>
              <w:right w:w="105" w:type="dxa"/>
            </w:tcMar>
            <w:vAlign w:val="center"/>
          </w:tcPr>
          <w:p>
            <w:pPr>
              <w:spacing w:line="30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由新晃县文化旅游广电体育局担任法人具体负责组织实施，委派专人对项目进行管理。严格执行项目法人制和合同管理制度，对《条例》资金使用从申报、审核、使用直至运行管理等全过程，实行了全面负责，按照“</w:t>
            </w:r>
            <w:r>
              <w:rPr>
                <w:rFonts w:hint="eastAsia" w:ascii="仿宋" w:hAnsi="仿宋" w:eastAsia="仿宋" w:cs="仿宋"/>
                <w:szCs w:val="21"/>
              </w:rPr>
              <w:t>保护为主、抢救第一、合理利用、传承发展”的要求，坚持“政府主导、社会参与、明确职责、形成合力”的原则，积极开展《条例》贯彻落实工作，有效推动了民族民间传统文化保护工作，对传承和发展我县的民族民间文化具有重要的意义</w:t>
            </w:r>
          </w:p>
        </w:tc>
        <w:tc>
          <w:tcPr>
            <w:tcW w:w="758"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15</w:t>
            </w:r>
          </w:p>
        </w:tc>
        <w:tc>
          <w:tcPr>
            <w:tcW w:w="734"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atLeast"/>
          <w:tblCellSpacing w:w="0" w:type="dxa"/>
        </w:trPr>
        <w:tc>
          <w:tcPr>
            <w:tcW w:w="91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资金支出</w:t>
            </w:r>
          </w:p>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合理合规</w:t>
            </w:r>
          </w:p>
        </w:tc>
        <w:tc>
          <w:tcPr>
            <w:tcW w:w="1356"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15</w:t>
            </w:r>
          </w:p>
        </w:tc>
        <w:tc>
          <w:tcPr>
            <w:tcW w:w="5518" w:type="dxa"/>
            <w:gridSpan w:val="5"/>
            <w:tcMar>
              <w:top w:w="0" w:type="dxa"/>
              <w:left w:w="105" w:type="dxa"/>
              <w:bottom w:w="0" w:type="dxa"/>
              <w:right w:w="105" w:type="dxa"/>
            </w:tcMar>
            <w:vAlign w:val="center"/>
          </w:tcPr>
          <w:p>
            <w:pPr>
              <w:spacing w:line="30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本年资金支出符合国家相关法律法规、财务管理制度等规定，且均在预算范围内，无与本项目预算不相符或无关的资金支出。</w:t>
            </w:r>
          </w:p>
        </w:tc>
        <w:tc>
          <w:tcPr>
            <w:tcW w:w="758"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15</w:t>
            </w:r>
          </w:p>
        </w:tc>
        <w:tc>
          <w:tcPr>
            <w:tcW w:w="734"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tblCellSpacing w:w="0" w:type="dxa"/>
        </w:trPr>
        <w:tc>
          <w:tcPr>
            <w:tcW w:w="91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项目产出</w:t>
            </w:r>
          </w:p>
        </w:tc>
        <w:tc>
          <w:tcPr>
            <w:tcW w:w="1356"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30</w:t>
            </w:r>
          </w:p>
        </w:tc>
        <w:tc>
          <w:tcPr>
            <w:tcW w:w="5518" w:type="dxa"/>
            <w:gridSpan w:val="5"/>
            <w:tcMar>
              <w:top w:w="0" w:type="dxa"/>
              <w:left w:w="105" w:type="dxa"/>
              <w:bottom w:w="0" w:type="dxa"/>
              <w:right w:w="105" w:type="dxa"/>
            </w:tcMar>
            <w:vAlign w:val="center"/>
          </w:tcPr>
          <w:p>
            <w:pPr>
              <w:spacing w:line="30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w:t>
            </w:r>
            <w:r>
              <w:rPr>
                <w:rFonts w:hint="eastAsia" w:ascii="仿宋" w:hAnsi="仿宋" w:eastAsia="仿宋" w:cs="仿宋"/>
                <w:szCs w:val="21"/>
              </w:rPr>
              <w:t>资金使用计划分为7大类共32个项，经费共计139.08万元。使用范围：民族民间传统重大项目的保护、研究和展示；抢救濒危的民族民间传统文化民族民间传统文化节会活动、乡镇民间工艺传承项目支持；龙溪古镇保护支持；民族民间传统文化传承人的培养、资助和非遗产品开发；传统文化资料和文化研究成果收集成册和出版；新晃民族民间传统文化对外宣传推广；条例实施经费。</w:t>
            </w:r>
          </w:p>
        </w:tc>
        <w:tc>
          <w:tcPr>
            <w:tcW w:w="758"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30</w:t>
            </w:r>
          </w:p>
        </w:tc>
        <w:tc>
          <w:tcPr>
            <w:tcW w:w="734"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8" w:hRule="atLeast"/>
          <w:tblCellSpacing w:w="0" w:type="dxa"/>
        </w:trPr>
        <w:tc>
          <w:tcPr>
            <w:tcW w:w="91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项目效益（效果）</w:t>
            </w:r>
          </w:p>
        </w:tc>
        <w:tc>
          <w:tcPr>
            <w:tcW w:w="1356"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20</w:t>
            </w:r>
          </w:p>
        </w:tc>
        <w:tc>
          <w:tcPr>
            <w:tcW w:w="5518" w:type="dxa"/>
            <w:gridSpan w:val="5"/>
            <w:tcMar>
              <w:top w:w="0" w:type="dxa"/>
              <w:left w:w="105" w:type="dxa"/>
              <w:bottom w:w="0" w:type="dxa"/>
              <w:right w:w="105" w:type="dxa"/>
            </w:tcMar>
            <w:vAlign w:val="center"/>
          </w:tcPr>
          <w:p>
            <w:pPr>
              <w:spacing w:line="300" w:lineRule="exact"/>
              <w:rPr>
                <w:rFonts w:ascii="仿宋_GB2312" w:hAnsi="仿宋_GB2312" w:eastAsia="仿宋" w:cs="仿宋_GB2312"/>
                <w:kern w:val="0"/>
                <w:szCs w:val="21"/>
              </w:rPr>
            </w:pPr>
            <w:r>
              <w:rPr>
                <w:rFonts w:hint="eastAsia" w:ascii="仿宋_GB2312" w:hAnsi="仿宋_GB2312" w:eastAsia="仿宋_GB2312" w:cs="仿宋_GB2312"/>
                <w:kern w:val="0"/>
                <w:szCs w:val="21"/>
              </w:rPr>
              <w:t>通过实施使用</w:t>
            </w:r>
            <w:r>
              <w:rPr>
                <w:rFonts w:hint="eastAsia" w:ascii="仿宋" w:hAnsi="仿宋" w:eastAsia="仿宋" w:cs="仿宋"/>
                <w:szCs w:val="21"/>
              </w:rPr>
              <w:t>《新晃侗族自治县民族民间传统文化保护条例》资金</w:t>
            </w:r>
            <w:r>
              <w:rPr>
                <w:rFonts w:eastAsia="仿宋"/>
                <w:szCs w:val="21"/>
              </w:rPr>
              <w:t>，</w:t>
            </w:r>
            <w:r>
              <w:rPr>
                <w:rFonts w:hint="eastAsia" w:ascii="仿宋" w:hAnsi="仿宋" w:eastAsia="仿宋" w:cs="仿宋"/>
                <w:szCs w:val="21"/>
              </w:rPr>
              <w:t>县民族民间传统文化保护工作有了明显提升，文化自信、民族自信空前高涨，无论城市还是乡村广大老百姓的文化营养、文化需求都得到极大的满足，使人们增强</w:t>
            </w:r>
            <w:r>
              <w:rPr>
                <w:rFonts w:hint="eastAsia" w:eastAsia="仿宋"/>
                <w:szCs w:val="21"/>
              </w:rPr>
              <w:t>文化自信。</w:t>
            </w:r>
          </w:p>
        </w:tc>
        <w:tc>
          <w:tcPr>
            <w:tcW w:w="758"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20</w:t>
            </w:r>
          </w:p>
        </w:tc>
        <w:tc>
          <w:tcPr>
            <w:tcW w:w="734"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1" w:hRule="atLeast"/>
          <w:tblCellSpacing w:w="0" w:type="dxa"/>
        </w:trPr>
        <w:tc>
          <w:tcPr>
            <w:tcW w:w="91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小计</w:t>
            </w:r>
          </w:p>
        </w:tc>
        <w:tc>
          <w:tcPr>
            <w:tcW w:w="1356"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c>
          <w:tcPr>
            <w:tcW w:w="5518" w:type="dxa"/>
            <w:gridSpan w:val="5"/>
            <w:tcMar>
              <w:top w:w="0" w:type="dxa"/>
              <w:left w:w="105" w:type="dxa"/>
              <w:bottom w:w="0" w:type="dxa"/>
              <w:right w:w="105" w:type="dxa"/>
            </w:tcMar>
            <w:vAlign w:val="center"/>
          </w:tcPr>
          <w:p>
            <w:pPr>
              <w:spacing w:line="300" w:lineRule="exact"/>
              <w:rPr>
                <w:rFonts w:ascii="仿宋_GB2312" w:hAnsi="仿宋_GB2312" w:eastAsia="仿宋_GB2312" w:cs="仿宋_GB2312"/>
                <w:kern w:val="0"/>
                <w:szCs w:val="21"/>
              </w:rPr>
            </w:pPr>
          </w:p>
        </w:tc>
        <w:tc>
          <w:tcPr>
            <w:tcW w:w="758"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c>
          <w:tcPr>
            <w:tcW w:w="734"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tblCellSpacing w:w="0" w:type="dxa"/>
        </w:trPr>
        <w:tc>
          <w:tcPr>
            <w:tcW w:w="91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负向指标</w:t>
            </w:r>
          </w:p>
        </w:tc>
        <w:tc>
          <w:tcPr>
            <w:tcW w:w="1356"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p>
        </w:tc>
        <w:tc>
          <w:tcPr>
            <w:tcW w:w="5518" w:type="dxa"/>
            <w:gridSpan w:val="5"/>
            <w:tcMar>
              <w:top w:w="0" w:type="dxa"/>
              <w:left w:w="105" w:type="dxa"/>
              <w:bottom w:w="0" w:type="dxa"/>
              <w:right w:w="105" w:type="dxa"/>
            </w:tcMar>
            <w:vAlign w:val="center"/>
          </w:tcPr>
          <w:p>
            <w:pPr>
              <w:spacing w:line="30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主要评价自评得分与复评得分差异率。差异率≤10%，不扣分；10%&lt;差异率≤15%，扣2分；15%&lt;差异率≤20%，扣4分；差异率&gt;20%，扣6分。</w:t>
            </w:r>
          </w:p>
        </w:tc>
        <w:tc>
          <w:tcPr>
            <w:tcW w:w="758"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p>
        </w:tc>
        <w:tc>
          <w:tcPr>
            <w:tcW w:w="734"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tblCellSpacing w:w="0" w:type="dxa"/>
        </w:trPr>
        <w:tc>
          <w:tcPr>
            <w:tcW w:w="913"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合计</w:t>
            </w:r>
          </w:p>
        </w:tc>
        <w:tc>
          <w:tcPr>
            <w:tcW w:w="1356"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c>
          <w:tcPr>
            <w:tcW w:w="5518" w:type="dxa"/>
            <w:gridSpan w:val="5"/>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p>
        </w:tc>
        <w:tc>
          <w:tcPr>
            <w:tcW w:w="758"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p>
        </w:tc>
        <w:tc>
          <w:tcPr>
            <w:tcW w:w="734"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blCellSpacing w:w="0" w:type="dxa"/>
        </w:trPr>
        <w:tc>
          <w:tcPr>
            <w:tcW w:w="913"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评价结果</w:t>
            </w:r>
          </w:p>
        </w:tc>
        <w:tc>
          <w:tcPr>
            <w:tcW w:w="1356"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p>
        </w:tc>
        <w:tc>
          <w:tcPr>
            <w:tcW w:w="7010" w:type="dxa"/>
            <w:gridSpan w:val="7"/>
            <w:tcMar>
              <w:top w:w="0" w:type="dxa"/>
              <w:left w:w="105" w:type="dxa"/>
              <w:bottom w:w="0" w:type="dxa"/>
              <w:right w:w="105" w:type="dxa"/>
            </w:tcMar>
            <w:vAlign w:val="center"/>
          </w:tcPr>
          <w:p>
            <w:pPr>
              <w:spacing w:line="32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52"/>
            </w:r>
            <w:r>
              <w:rPr>
                <w:rFonts w:hint="eastAsia" w:ascii="仿宋_GB2312" w:hAnsi="仿宋_GB2312" w:eastAsia="仿宋_GB2312" w:cs="仿宋_GB2312"/>
                <w:kern w:val="0"/>
                <w:szCs w:val="21"/>
              </w:rPr>
              <w:t>优秀  90分≤得分≤100分； □良好  75分≤得分＜90分；□一般  60分≤得分＜75分；  □较差  得分＜60分</w:t>
            </w:r>
          </w:p>
        </w:tc>
      </w:tr>
    </w:tbl>
    <w:p>
      <w:pPr>
        <w:spacing w:line="320" w:lineRule="exact"/>
        <w:rPr>
          <w:szCs w:val="21"/>
        </w:rPr>
      </w:pPr>
      <w:r>
        <w:rPr>
          <w:rFonts w:hAnsi="宋体"/>
          <w:szCs w:val="21"/>
        </w:rPr>
        <w:t>单位负责人（签字）：</w:t>
      </w:r>
      <w:r>
        <w:rPr>
          <w:szCs w:val="21"/>
        </w:rPr>
        <w:t xml:space="preserve">                           </w:t>
      </w:r>
      <w:r>
        <w:rPr>
          <w:rFonts w:hAnsi="宋体"/>
          <w:szCs w:val="21"/>
        </w:rPr>
        <w:t>项目负责人（签字）：</w:t>
      </w:r>
      <w:r>
        <w:rPr>
          <w:szCs w:val="21"/>
        </w:rPr>
        <w:t xml:space="preserve">   </w:t>
      </w:r>
    </w:p>
    <w:p>
      <w:pPr>
        <w:spacing w:line="320" w:lineRule="exact"/>
        <w:jc w:val="right"/>
        <w:rPr>
          <w:szCs w:val="21"/>
        </w:rPr>
      </w:pPr>
      <w:r>
        <w:rPr>
          <w:rFonts w:hAnsi="宋体"/>
          <w:szCs w:val="21"/>
        </w:rPr>
        <w:t>填表日期：</w:t>
      </w:r>
      <w:r>
        <w:rPr>
          <w:szCs w:val="21"/>
        </w:rPr>
        <w:t xml:space="preserve">    </w:t>
      </w:r>
      <w:r>
        <w:rPr>
          <w:rFonts w:hAnsi="宋体"/>
          <w:szCs w:val="21"/>
        </w:rPr>
        <w:t>年</w:t>
      </w:r>
      <w:r>
        <w:rPr>
          <w:szCs w:val="21"/>
        </w:rPr>
        <w:t xml:space="preserve">    </w:t>
      </w:r>
      <w:r>
        <w:rPr>
          <w:rFonts w:hAnsi="宋体"/>
          <w:szCs w:val="21"/>
        </w:rPr>
        <w:t>月</w:t>
      </w:r>
      <w:r>
        <w:rPr>
          <w:szCs w:val="21"/>
        </w:rPr>
        <w:t xml:space="preserve">    </w:t>
      </w:r>
      <w:r>
        <w:rPr>
          <w:rFonts w:hAnsi="宋体"/>
          <w:szCs w:val="21"/>
        </w:rPr>
        <w:t>日</w:t>
      </w:r>
    </w:p>
    <w:p>
      <w:pPr>
        <w:spacing w:before="240" w:line="340" w:lineRule="exact"/>
        <w:jc w:val="left"/>
        <w:rPr>
          <w:kern w:val="0"/>
          <w:sz w:val="24"/>
        </w:rPr>
      </w:pPr>
      <w:r>
        <w:rPr>
          <w:kern w:val="0"/>
          <w:sz w:val="24"/>
        </w:rPr>
        <w:br w:type="page"/>
      </w:r>
      <w:r>
        <w:rPr>
          <w:rFonts w:hint="eastAsia" w:ascii="仿宋_GB2312" w:hAnsi="仿宋_GB2312" w:eastAsia="仿宋_GB2312" w:cs="仿宋_GB2312"/>
          <w:sz w:val="24"/>
        </w:rPr>
        <w:t>附件1-3 </w:t>
      </w:r>
    </w:p>
    <w:p>
      <w:pPr>
        <w:spacing w:line="600" w:lineRule="exact"/>
        <w:jc w:val="center"/>
        <w:rPr>
          <w:rFonts w:hAnsi="方正粗宋简体" w:eastAsia="方正粗宋简体"/>
          <w:w w:val="85"/>
          <w:kern w:val="0"/>
          <w:sz w:val="44"/>
          <w:szCs w:val="44"/>
        </w:rPr>
      </w:pPr>
      <w:r>
        <w:rPr>
          <w:rFonts w:eastAsia="方正粗宋简体"/>
          <w:w w:val="85"/>
          <w:kern w:val="0"/>
          <w:sz w:val="44"/>
          <w:szCs w:val="44"/>
        </w:rPr>
        <w:t> 20</w:t>
      </w:r>
      <w:r>
        <w:rPr>
          <w:rFonts w:hint="eastAsia" w:eastAsia="方正粗宋简体"/>
          <w:w w:val="85"/>
          <w:kern w:val="0"/>
          <w:sz w:val="44"/>
          <w:szCs w:val="44"/>
        </w:rPr>
        <w:t>20</w:t>
      </w:r>
      <w:r>
        <w:rPr>
          <w:rFonts w:hAnsi="方正粗宋简体" w:eastAsia="方正粗宋简体"/>
          <w:w w:val="85"/>
          <w:kern w:val="0"/>
          <w:sz w:val="44"/>
          <w:szCs w:val="44"/>
        </w:rPr>
        <w:t>年度新晃侗族自治县</w:t>
      </w:r>
      <w:r>
        <w:rPr>
          <w:rFonts w:hint="eastAsia" w:hAnsi="方正粗宋简体" w:eastAsia="方正粗宋简体"/>
          <w:w w:val="85"/>
          <w:kern w:val="0"/>
          <w:sz w:val="44"/>
          <w:szCs w:val="44"/>
          <w:lang w:eastAsia="zh-CN"/>
        </w:rPr>
        <w:t>文化保护资金</w:t>
      </w:r>
      <w:r>
        <w:rPr>
          <w:rFonts w:hAnsi="方正粗宋简体" w:eastAsia="方正粗宋简体"/>
          <w:w w:val="85"/>
          <w:kern w:val="0"/>
          <w:sz w:val="44"/>
          <w:szCs w:val="44"/>
        </w:rPr>
        <w:t>项目自评报告</w:t>
      </w:r>
    </w:p>
    <w:p>
      <w:pPr>
        <w:pStyle w:val="4"/>
        <w:widowControl w:val="0"/>
        <w:spacing w:before="0" w:beforeAutospacing="0" w:after="0" w:afterAutospacing="0" w:line="560" w:lineRule="exact"/>
        <w:ind w:firstLine="630" w:firstLineChars="196"/>
        <w:rPr>
          <w:rFonts w:ascii="仿宋" w:hAnsi="仿宋" w:eastAsia="仿宋" w:cs="仿宋"/>
          <w:b/>
          <w:sz w:val="32"/>
          <w:szCs w:val="32"/>
        </w:rPr>
      </w:pPr>
      <w:r>
        <w:rPr>
          <w:rFonts w:hint="eastAsia" w:ascii="仿宋" w:hAnsi="仿宋" w:eastAsia="仿宋" w:cs="仿宋"/>
          <w:b/>
          <w:sz w:val="32"/>
          <w:szCs w:val="32"/>
        </w:rPr>
        <w:t>一、项目概况</w:t>
      </w:r>
      <w:bookmarkStart w:id="0" w:name="_GoBack"/>
      <w:bookmarkEnd w:id="0"/>
    </w:p>
    <w:p>
      <w:pPr>
        <w:pStyle w:val="4"/>
        <w:widowControl w:val="0"/>
        <w:spacing w:before="0" w:beforeAutospacing="0" w:after="0" w:afterAutospacing="0" w:line="560" w:lineRule="exact"/>
        <w:ind w:firstLine="480"/>
        <w:jc w:val="both"/>
        <w:rPr>
          <w:rFonts w:ascii="仿宋" w:hAnsi="仿宋" w:eastAsia="仿宋" w:cs="仿宋"/>
          <w:sz w:val="32"/>
          <w:szCs w:val="32"/>
        </w:rPr>
      </w:pPr>
      <w:r>
        <w:rPr>
          <w:rFonts w:hint="eastAsia" w:ascii="仿宋" w:hAnsi="仿宋" w:eastAsia="仿宋" w:cs="仿宋"/>
          <w:sz w:val="32"/>
          <w:szCs w:val="32"/>
        </w:rPr>
        <w:t xml:space="preserve">（一）项目基本情况：根据《新晃侗族自治县民族民间传统文化保护条例》（以下简称条例）和《新晃侗族自治县人民政府关于贯彻落实（新晃侗族自治县民族民间传统文化保护条例）的实施意见》（以下简称&lt;实施意见&gt;）相关规定，2020年《条例》资金使用计划着重面向社会进行广泛征集，并于2019年12月底形成项目库。经落实《新晃侗族自治县民族民间传统文化保护条例》领导小组成员单位共同商议，从中选出32个项目列入2020年实施项目，安排保护资金使用。我局制定了《2020年新晃县民族民间传统文化保护资金使用计划》，报请县人民政府同意实施。由新晃县文化旅游广电体育局担任法人，具体是一样计划见附件。                                                                                                                                                                                                                                                                                                                                             </w:t>
      </w:r>
    </w:p>
    <w:p>
      <w:pPr>
        <w:pStyle w:val="4"/>
        <w:widowControl w:val="0"/>
        <w:spacing w:before="0" w:beforeAutospacing="0" w:after="0" w:afterAutospacing="0" w:line="560" w:lineRule="exact"/>
        <w:ind w:firstLine="480"/>
        <w:rPr>
          <w:rFonts w:ascii="仿宋" w:hAnsi="仿宋" w:eastAsia="仿宋" w:cs="仿宋"/>
          <w:sz w:val="32"/>
          <w:szCs w:val="32"/>
        </w:rPr>
      </w:pPr>
      <w:r>
        <w:rPr>
          <w:rFonts w:hint="eastAsia" w:ascii="仿宋" w:hAnsi="仿宋" w:eastAsia="仿宋" w:cs="仿宋"/>
          <w:sz w:val="32"/>
          <w:szCs w:val="32"/>
        </w:rPr>
        <w:t>（二）项目预算情况：2020年《新晃侗族自治县民族民间传统文化保护条例》资金</w:t>
      </w:r>
      <w:r>
        <w:rPr>
          <w:rFonts w:hint="eastAsia" w:ascii="仿宋_GB2312" w:hAnsi="仿宋_GB2312" w:eastAsia="仿宋_GB2312" w:cs="仿宋_GB2312"/>
          <w:sz w:val="32"/>
          <w:szCs w:val="32"/>
        </w:rPr>
        <w:t>预算编制科学、规范、合理，预期绩效目标申报完整，产出、效果类关键性指标清晰、明确、量化，投入与项目产出、效果目标匹配。</w:t>
      </w:r>
    </w:p>
    <w:p>
      <w:pPr>
        <w:pStyle w:val="4"/>
        <w:widowControl w:val="0"/>
        <w:spacing w:before="0" w:beforeAutospacing="0" w:after="0" w:afterAutospacing="0" w:line="560" w:lineRule="exact"/>
        <w:ind w:firstLine="480"/>
        <w:rPr>
          <w:rFonts w:ascii="仿宋" w:hAnsi="仿宋" w:eastAsia="仿宋" w:cs="仿宋"/>
          <w:sz w:val="32"/>
          <w:szCs w:val="32"/>
        </w:rPr>
      </w:pPr>
      <w:r>
        <w:rPr>
          <w:rFonts w:hint="eastAsia" w:ascii="仿宋" w:hAnsi="仿宋" w:eastAsia="仿宋" w:cs="仿宋"/>
          <w:sz w:val="32"/>
          <w:szCs w:val="32"/>
        </w:rPr>
        <w:t>（三）项目预期预算绩效目标和绩效指标设定情况：</w:t>
      </w:r>
      <w:r>
        <w:rPr>
          <w:rFonts w:hint="eastAsia" w:ascii="仿宋_GB2312" w:hAnsi="仿宋_GB2312" w:eastAsia="仿宋_GB2312" w:cs="仿宋_GB2312"/>
          <w:sz w:val="32"/>
          <w:szCs w:val="32"/>
        </w:rPr>
        <w:t>本项目由新晃县文化旅游广电体育局担任法人具体负责组织实施，委派专人对项目进行管理。严格执行项目法人制和合同管理制度，对《条例》资金使用从申报、审核、使用直至运行管理等全过程，实行了全面负责，按照“</w:t>
      </w:r>
      <w:r>
        <w:rPr>
          <w:rFonts w:hint="eastAsia" w:ascii="仿宋" w:hAnsi="仿宋" w:eastAsia="仿宋" w:cs="仿宋"/>
          <w:sz w:val="32"/>
          <w:szCs w:val="32"/>
        </w:rPr>
        <w:t>保护为主、抢救第一、合理利用、传承发展”的要求，坚持“政府主导、社会参与、明确职责、形成合力”的原则，积极开展《条例》贯彻落实工作，有效推动了民族民间传统文化保护工作，对传承和发展我县的民族民间文化具有重要的意义。</w:t>
      </w:r>
    </w:p>
    <w:p>
      <w:pPr>
        <w:pStyle w:val="4"/>
        <w:widowControl w:val="0"/>
        <w:spacing w:before="0" w:beforeAutospacing="0" w:after="0" w:afterAutospacing="0" w:line="560" w:lineRule="exact"/>
        <w:ind w:firstLine="480"/>
        <w:rPr>
          <w:rFonts w:ascii="仿宋" w:hAnsi="仿宋" w:eastAsia="仿宋" w:cs="仿宋"/>
          <w:b/>
          <w:sz w:val="32"/>
          <w:szCs w:val="32"/>
        </w:rPr>
      </w:pPr>
      <w:r>
        <w:rPr>
          <w:rFonts w:hint="eastAsia" w:ascii="仿宋" w:hAnsi="仿宋" w:eastAsia="仿宋" w:cs="仿宋"/>
          <w:b/>
          <w:sz w:val="32"/>
          <w:szCs w:val="32"/>
        </w:rPr>
        <w:t>二、项目决策及资金使用管理情况</w:t>
      </w:r>
    </w:p>
    <w:p>
      <w:pPr>
        <w:pStyle w:val="4"/>
        <w:widowControl w:val="0"/>
        <w:spacing w:before="0" w:beforeAutospacing="0" w:after="0" w:afterAutospacing="0" w:line="560" w:lineRule="exact"/>
        <w:ind w:firstLine="480"/>
        <w:rPr>
          <w:rFonts w:ascii="仿宋" w:hAnsi="仿宋" w:eastAsia="仿宋" w:cs="仿宋"/>
          <w:sz w:val="32"/>
          <w:szCs w:val="32"/>
        </w:rPr>
      </w:pPr>
      <w:r>
        <w:rPr>
          <w:rFonts w:hint="eastAsia" w:ascii="仿宋" w:hAnsi="仿宋" w:eastAsia="仿宋" w:cs="仿宋"/>
          <w:sz w:val="32"/>
          <w:szCs w:val="32"/>
        </w:rPr>
        <w:t>（一）项目决策情况：根据《新晃侗族自治县民族民间传统文化保护条例》（以下简称条例）和《新晃侗族自治县人民政府关于贯彻落实（新晃侗族自治县民族民间传统文化保护条例）的实施意见》（以下简称&lt;实施意见&gt;）相关规定，2020年《条例》资金使用计划着重面向社会进行广泛征集，并于2019年12月底形成项目库。项目库共收集项目68个，经落实《新晃侗族自治县民族民间传统文化保护条例》领导小组成员单位共同商议，从中选出32个项目列入2020年实施项目，安排保护资金使用。我局制定了《2020年新晃县民族民间传统文化保护资金使用计划》，报请县人民政府同意实施。</w:t>
      </w:r>
    </w:p>
    <w:p>
      <w:pPr>
        <w:pStyle w:val="4"/>
        <w:widowControl w:val="0"/>
        <w:spacing w:before="0" w:beforeAutospacing="0" w:after="0" w:afterAutospacing="0" w:line="560" w:lineRule="exact"/>
        <w:ind w:firstLine="480"/>
        <w:rPr>
          <w:rFonts w:ascii="仿宋_GB2312" w:hAnsi="仿宋_GB2312" w:eastAsia="仿宋_GB2312" w:cs="仿宋_GB2312"/>
          <w:szCs w:val="21"/>
        </w:rPr>
      </w:pPr>
      <w:r>
        <w:rPr>
          <w:rFonts w:hint="eastAsia" w:ascii="仿宋" w:hAnsi="仿宋" w:eastAsia="仿宋" w:cs="仿宋"/>
          <w:sz w:val="32"/>
          <w:szCs w:val="32"/>
        </w:rPr>
        <w:t>（二）项目预算执行情况：</w:t>
      </w:r>
      <w:r>
        <w:rPr>
          <w:rFonts w:hint="eastAsia" w:ascii="仿宋_GB2312" w:hAnsi="仿宋_GB2312" w:eastAsia="仿宋_GB2312" w:cs="仿宋_GB2312"/>
          <w:sz w:val="32"/>
          <w:szCs w:val="32"/>
        </w:rPr>
        <w:t>该项目预算执行率为100%。</w:t>
      </w:r>
    </w:p>
    <w:p>
      <w:pPr>
        <w:pStyle w:val="4"/>
        <w:widowControl w:val="0"/>
        <w:spacing w:before="0" w:beforeAutospacing="0" w:after="0" w:afterAutospacing="0" w:line="560" w:lineRule="exact"/>
        <w:ind w:firstLine="480"/>
        <w:rPr>
          <w:rFonts w:ascii="仿宋" w:hAnsi="仿宋" w:eastAsia="仿宋" w:cs="仿宋"/>
          <w:sz w:val="32"/>
          <w:szCs w:val="32"/>
        </w:rPr>
      </w:pPr>
      <w:r>
        <w:rPr>
          <w:rFonts w:hint="eastAsia" w:ascii="仿宋" w:hAnsi="仿宋" w:eastAsia="仿宋" w:cs="仿宋"/>
          <w:sz w:val="32"/>
          <w:szCs w:val="32"/>
        </w:rPr>
        <w:t>（三）项目资金实际使用情况：</w:t>
      </w:r>
      <w:r>
        <w:rPr>
          <w:rFonts w:hint="eastAsia" w:ascii="仿宋_GB2312" w:hAnsi="仿宋_GB2312" w:eastAsia="仿宋_GB2312" w:cs="仿宋_GB2312"/>
          <w:sz w:val="32"/>
          <w:szCs w:val="32"/>
        </w:rPr>
        <w:t>2020年</w:t>
      </w:r>
      <w:r>
        <w:rPr>
          <w:rFonts w:hint="eastAsia" w:ascii="仿宋" w:hAnsi="仿宋" w:eastAsia="仿宋" w:cs="仿宋"/>
          <w:sz w:val="32"/>
          <w:szCs w:val="32"/>
        </w:rPr>
        <w:t>《新晃侗族自治县民族民间传统文化保护条例》资金已经支付</w:t>
      </w:r>
      <w:r>
        <w:rPr>
          <w:rFonts w:hint="eastAsia" w:ascii="仿宋_GB2312" w:hAnsi="仿宋_GB2312" w:eastAsia="仿宋_GB2312" w:cs="仿宋_GB2312"/>
          <w:sz w:val="32"/>
          <w:szCs w:val="32"/>
        </w:rPr>
        <w:t>139.08</w:t>
      </w:r>
      <w:r>
        <w:rPr>
          <w:rFonts w:hint="eastAsia" w:ascii="仿宋" w:hAnsi="仿宋" w:eastAsia="仿宋" w:cs="仿宋"/>
          <w:sz w:val="32"/>
          <w:szCs w:val="32"/>
        </w:rPr>
        <w:t>万元；</w:t>
      </w:r>
    </w:p>
    <w:p>
      <w:pPr>
        <w:pStyle w:val="4"/>
        <w:widowControl w:val="0"/>
        <w:spacing w:before="0" w:beforeAutospacing="0" w:after="0" w:afterAutospacing="0" w:line="560" w:lineRule="exact"/>
        <w:ind w:firstLine="480"/>
        <w:rPr>
          <w:rFonts w:ascii="仿宋" w:hAnsi="仿宋" w:eastAsia="仿宋" w:cs="仿宋"/>
          <w:sz w:val="32"/>
          <w:szCs w:val="32"/>
        </w:rPr>
      </w:pPr>
      <w:r>
        <w:rPr>
          <w:rFonts w:hint="eastAsia" w:ascii="仿宋" w:hAnsi="仿宋" w:eastAsia="仿宋" w:cs="仿宋"/>
          <w:sz w:val="32"/>
          <w:szCs w:val="32"/>
        </w:rPr>
        <w:t>（四）项目资金管理情况：本年项目支出符合国家相关法律法规、财务管理制度等规定，且均在预算范围内，无与本项目预算不相符或无关的资金支出。</w:t>
      </w:r>
    </w:p>
    <w:p>
      <w:pPr>
        <w:pStyle w:val="4"/>
        <w:widowControl w:val="0"/>
        <w:spacing w:before="0" w:beforeAutospacing="0" w:after="0" w:afterAutospacing="0" w:line="560" w:lineRule="exact"/>
        <w:ind w:firstLine="480"/>
        <w:rPr>
          <w:rFonts w:ascii="仿宋" w:hAnsi="仿宋" w:eastAsia="仿宋" w:cs="仿宋"/>
          <w:b/>
          <w:sz w:val="32"/>
          <w:szCs w:val="32"/>
        </w:rPr>
      </w:pPr>
      <w:r>
        <w:rPr>
          <w:rFonts w:hint="eastAsia" w:ascii="仿宋" w:hAnsi="仿宋" w:eastAsia="仿宋" w:cs="仿宋"/>
          <w:b/>
          <w:sz w:val="32"/>
          <w:szCs w:val="32"/>
        </w:rPr>
        <w:t>三、项目组织实施情况</w:t>
      </w:r>
    </w:p>
    <w:p>
      <w:pPr>
        <w:pStyle w:val="4"/>
        <w:widowControl w:val="0"/>
        <w:spacing w:before="0" w:beforeAutospacing="0" w:after="0" w:afterAutospacing="0" w:line="560" w:lineRule="exact"/>
        <w:ind w:firstLine="480"/>
        <w:rPr>
          <w:rFonts w:ascii="仿宋" w:hAnsi="仿宋" w:eastAsia="仿宋" w:cs="仿宋"/>
          <w:sz w:val="32"/>
          <w:szCs w:val="32"/>
        </w:rPr>
      </w:pPr>
      <w:r>
        <w:rPr>
          <w:rFonts w:hint="eastAsia" w:ascii="仿宋" w:hAnsi="仿宋" w:eastAsia="仿宋" w:cs="仿宋"/>
          <w:sz w:val="32"/>
          <w:szCs w:val="32"/>
        </w:rPr>
        <w:t>（一）项目组织机构与职责落实情况</w:t>
      </w:r>
    </w:p>
    <w:p>
      <w:pPr>
        <w:pStyle w:val="4"/>
        <w:widowControl w:val="0"/>
        <w:spacing w:before="0" w:beforeAutospacing="0" w:after="0" w:afterAutospacing="0" w:line="560" w:lineRule="exact"/>
        <w:ind w:firstLine="480"/>
        <w:rPr>
          <w:rFonts w:ascii="仿宋" w:hAnsi="仿宋" w:eastAsia="仿宋" w:cs="仿宋"/>
          <w:sz w:val="32"/>
          <w:szCs w:val="32"/>
        </w:rPr>
      </w:pPr>
      <w:r>
        <w:rPr>
          <w:rFonts w:hint="eastAsia" w:ascii="仿宋" w:hAnsi="仿宋" w:eastAsia="仿宋" w:cs="仿宋"/>
          <w:sz w:val="32"/>
          <w:szCs w:val="32"/>
        </w:rPr>
        <w:t>本项目由新晃县文化旅游广电体育局担任法人具体负责组织实施，委派专人对项目进行管理。</w:t>
      </w:r>
    </w:p>
    <w:p>
      <w:pPr>
        <w:pStyle w:val="4"/>
        <w:widowControl w:val="0"/>
        <w:numPr>
          <w:ilvl w:val="0"/>
          <w:numId w:val="1"/>
        </w:numPr>
        <w:spacing w:before="0" w:beforeAutospacing="0" w:after="0" w:afterAutospacing="0" w:line="560" w:lineRule="exact"/>
        <w:ind w:firstLine="480"/>
        <w:rPr>
          <w:rFonts w:ascii="仿宋" w:hAnsi="仿宋" w:eastAsia="仿宋" w:cs="仿宋"/>
          <w:sz w:val="32"/>
          <w:szCs w:val="32"/>
        </w:rPr>
      </w:pPr>
      <w:r>
        <w:rPr>
          <w:rFonts w:hint="eastAsia" w:ascii="仿宋" w:hAnsi="仿宋" w:eastAsia="仿宋" w:cs="仿宋"/>
          <w:sz w:val="32"/>
          <w:szCs w:val="32"/>
        </w:rPr>
        <w:t>项目管理制度建设情况</w:t>
      </w:r>
    </w:p>
    <w:p>
      <w:pPr>
        <w:pStyle w:val="4"/>
        <w:widowControl w:val="0"/>
        <w:spacing w:before="0" w:beforeAutospacing="0" w:after="0" w:afterAutospacing="0" w:line="560" w:lineRule="exact"/>
        <w:rPr>
          <w:rFonts w:ascii="仿宋" w:hAnsi="仿宋" w:eastAsia="仿宋" w:cs="仿宋"/>
          <w:sz w:val="32"/>
          <w:szCs w:val="32"/>
        </w:rPr>
      </w:pPr>
      <w:r>
        <w:rPr>
          <w:rFonts w:hint="eastAsia" w:ascii="仿宋" w:hAnsi="仿宋" w:eastAsia="仿宋" w:cs="仿宋"/>
          <w:sz w:val="32"/>
          <w:szCs w:val="32"/>
        </w:rPr>
        <w:t xml:space="preserve">    严格执行项目活动申报、审核、拨付、管理等全过程，实行了全面负责。</w:t>
      </w:r>
    </w:p>
    <w:p>
      <w:pPr>
        <w:pStyle w:val="4"/>
        <w:widowControl w:val="0"/>
        <w:numPr>
          <w:ilvl w:val="0"/>
          <w:numId w:val="1"/>
        </w:numPr>
        <w:spacing w:before="0" w:beforeAutospacing="0" w:after="0" w:afterAutospacing="0" w:line="560" w:lineRule="exact"/>
        <w:ind w:firstLine="480"/>
        <w:rPr>
          <w:rFonts w:ascii="仿宋" w:hAnsi="仿宋" w:eastAsia="仿宋" w:cs="仿宋"/>
          <w:sz w:val="32"/>
          <w:szCs w:val="32"/>
        </w:rPr>
      </w:pPr>
      <w:r>
        <w:rPr>
          <w:rFonts w:hint="eastAsia" w:ascii="仿宋" w:hAnsi="仿宋" w:eastAsia="仿宋" w:cs="仿宋"/>
          <w:sz w:val="32"/>
          <w:szCs w:val="32"/>
        </w:rPr>
        <w:t xml:space="preserve">项目组织管理落实情况 </w:t>
      </w:r>
    </w:p>
    <w:p>
      <w:pPr>
        <w:spacing w:line="60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建立健全保护资金管理制度和监督机制，明确保护资金审批流程和审批权限等，强化对保护资金的监督检查，重点检查保护资金使用绩效和安全性，确保资金安全高效使用。对于以前在使用《条例》资金发现问题及时整改，对不符合《条例》规定挪作他用的资金要追回财政相关账户，对违反财经纪律的相关责任人要依法依规进行严肃处理。</w:t>
      </w:r>
    </w:p>
    <w:p>
      <w:pPr>
        <w:pStyle w:val="4"/>
        <w:widowControl w:val="0"/>
        <w:spacing w:before="0" w:beforeAutospacing="0" w:after="0" w:afterAutospacing="0" w:line="560" w:lineRule="exact"/>
        <w:ind w:firstLine="480"/>
        <w:rPr>
          <w:rFonts w:ascii="仿宋" w:hAnsi="仿宋" w:eastAsia="仿宋" w:cs="仿宋"/>
          <w:b/>
          <w:sz w:val="32"/>
          <w:szCs w:val="32"/>
        </w:rPr>
      </w:pPr>
      <w:r>
        <w:rPr>
          <w:rFonts w:hint="eastAsia" w:ascii="仿宋" w:hAnsi="仿宋" w:eastAsia="仿宋" w:cs="仿宋"/>
          <w:b/>
          <w:sz w:val="32"/>
          <w:szCs w:val="32"/>
        </w:rPr>
        <w:t>四、项目绩效情况</w:t>
      </w:r>
    </w:p>
    <w:p>
      <w:pPr>
        <w:pStyle w:val="4"/>
        <w:widowControl w:val="0"/>
        <w:spacing w:before="0" w:beforeAutospacing="0" w:after="0" w:afterAutospacing="0" w:line="560" w:lineRule="exact"/>
        <w:ind w:firstLine="480"/>
        <w:rPr>
          <w:rFonts w:ascii="仿宋" w:hAnsi="仿宋" w:eastAsia="仿宋" w:cs="仿宋"/>
          <w:sz w:val="32"/>
          <w:szCs w:val="32"/>
        </w:rPr>
      </w:pPr>
      <w:r>
        <w:rPr>
          <w:rFonts w:hint="eastAsia" w:ascii="仿宋" w:hAnsi="仿宋" w:eastAsia="仿宋" w:cs="仿宋"/>
          <w:sz w:val="32"/>
          <w:szCs w:val="32"/>
        </w:rPr>
        <w:t>（一）项目绩效目标完成情况。</w:t>
      </w:r>
    </w:p>
    <w:p>
      <w:pPr>
        <w:pStyle w:val="4"/>
        <w:widowControl w:val="0"/>
        <w:spacing w:before="0" w:beforeAutospacing="0" w:after="0" w:afterAutospacing="0" w:line="560" w:lineRule="exact"/>
        <w:ind w:firstLine="640" w:firstLineChars="200"/>
        <w:rPr>
          <w:rFonts w:ascii="仿宋" w:hAnsi="仿宋" w:eastAsia="仿宋" w:cs="仿宋"/>
          <w:sz w:val="32"/>
          <w:szCs w:val="32"/>
        </w:rPr>
      </w:pPr>
      <w:r>
        <w:rPr>
          <w:rFonts w:hint="eastAsia" w:ascii="仿宋" w:hAnsi="仿宋" w:eastAsia="仿宋" w:cs="仿宋"/>
          <w:sz w:val="32"/>
          <w:szCs w:val="32"/>
        </w:rPr>
        <w:t>1.本项目预算编制科学、规范、合理，预期绩效目标申报完整，产出、效果类关键性指标清晰、明确、量化，投入与项目产出、效果目标匹配，项目单价均控制在批复概算单价成本内；</w:t>
      </w:r>
    </w:p>
    <w:p>
      <w:pPr>
        <w:spacing w:line="560" w:lineRule="exact"/>
        <w:ind w:firstLine="640" w:firstLineChars="200"/>
        <w:rPr>
          <w:rFonts w:ascii="仿宋" w:hAnsi="仿宋" w:eastAsia="仿宋" w:cs="仿宋"/>
          <w:color w:val="333333"/>
          <w:sz w:val="32"/>
          <w:szCs w:val="32"/>
        </w:rPr>
      </w:pPr>
      <w:r>
        <w:rPr>
          <w:rFonts w:hint="eastAsia" w:ascii="仿宋" w:hAnsi="仿宋" w:eastAsia="仿宋" w:cs="仿宋"/>
          <w:sz w:val="32"/>
          <w:szCs w:val="32"/>
        </w:rPr>
        <w:t>2.</w:t>
      </w:r>
      <w:r>
        <w:rPr>
          <w:rFonts w:hint="eastAsia" w:ascii="仿宋_GB2312" w:hAnsi="仿宋_GB2312" w:eastAsia="仿宋_GB2312" w:cs="仿宋_GB2312"/>
          <w:kern w:val="0"/>
          <w:sz w:val="32"/>
          <w:szCs w:val="32"/>
        </w:rPr>
        <w:t>本项目</w:t>
      </w:r>
      <w:r>
        <w:rPr>
          <w:rFonts w:hint="eastAsia" w:ascii="仿宋" w:hAnsi="仿宋" w:eastAsia="仿宋" w:cs="仿宋"/>
          <w:sz w:val="32"/>
          <w:szCs w:val="32"/>
        </w:rPr>
        <w:t>资金使用计划分为7大类共32个项，经费共计139.08万元。使用范围：民族民间传统重大项目的保护、研究和展示；抢救濒危的民族民间传统文化民族民间传统文化节会活动、乡镇民间工艺传承项目支持；龙溪古镇保护支持；民族民间传统文化传承人的培养、资助和非遗产品开发；传统文化资料和文化研究成果收集成册和出版；新晃民族民间传统文化对外宣传推广；条例实施经费。</w:t>
      </w:r>
    </w:p>
    <w:p>
      <w:pPr>
        <w:pStyle w:val="4"/>
        <w:widowControl w:val="0"/>
        <w:spacing w:before="0" w:beforeAutospacing="0" w:after="0" w:afterAutospacing="0" w:line="560" w:lineRule="exact"/>
        <w:ind w:firstLine="640" w:firstLineChars="200"/>
        <w:rPr>
          <w:rFonts w:ascii="仿宋" w:hAnsi="仿宋" w:eastAsia="仿宋" w:cs="仿宋"/>
          <w:sz w:val="32"/>
          <w:szCs w:val="32"/>
        </w:rPr>
      </w:pPr>
      <w:r>
        <w:rPr>
          <w:rFonts w:hint="eastAsia" w:ascii="仿宋" w:hAnsi="仿宋" w:eastAsia="仿宋" w:cs="仿宋"/>
          <w:sz w:val="32"/>
          <w:szCs w:val="32"/>
        </w:rPr>
        <w:t>3.</w:t>
      </w:r>
      <w:r>
        <w:rPr>
          <w:rFonts w:hint="eastAsia" w:ascii="仿宋_GB2312" w:hAnsi="仿宋_GB2312" w:eastAsia="仿宋_GB2312" w:cs="仿宋_GB2312"/>
          <w:sz w:val="32"/>
          <w:szCs w:val="32"/>
        </w:rPr>
        <w:t>通过实施使用</w:t>
      </w:r>
      <w:r>
        <w:rPr>
          <w:rFonts w:hint="eastAsia" w:ascii="仿宋" w:hAnsi="仿宋" w:eastAsia="仿宋" w:cs="仿宋"/>
          <w:sz w:val="32"/>
          <w:szCs w:val="32"/>
        </w:rPr>
        <w:t>《新晃侗族自治县民族民间传统文化保护条例》资金</w:t>
      </w:r>
      <w:r>
        <w:rPr>
          <w:rFonts w:ascii="Times New Roman" w:hAnsi="Times New Roman" w:eastAsia="仿宋" w:cs="Times New Roman"/>
          <w:sz w:val="32"/>
          <w:szCs w:val="32"/>
        </w:rPr>
        <w:t>，</w:t>
      </w:r>
      <w:r>
        <w:rPr>
          <w:rFonts w:hint="eastAsia" w:ascii="仿宋" w:hAnsi="仿宋" w:eastAsia="仿宋" w:cs="仿宋"/>
          <w:sz w:val="32"/>
          <w:szCs w:val="32"/>
        </w:rPr>
        <w:t>县民族民间传统文化保护工作有了明显提升，文化自信、民族自信空前高涨，无论城市还是乡村广大老百姓的文化营养、文化需求都得到极大的满足，使人们增强</w:t>
      </w:r>
      <w:r>
        <w:rPr>
          <w:rFonts w:hint="eastAsia" w:eastAsia="仿宋" w:cs="Times New Roman"/>
          <w:sz w:val="32"/>
          <w:szCs w:val="32"/>
        </w:rPr>
        <w:t>文化自信。</w:t>
      </w:r>
    </w:p>
    <w:p>
      <w:pPr>
        <w:spacing w:line="600" w:lineRule="exact"/>
        <w:ind w:firstLine="640" w:firstLineChars="200"/>
        <w:rPr>
          <w:rFonts w:ascii="仿宋_GB2312" w:hAnsi="宋体" w:eastAsia="仿宋_GB2312"/>
          <w:color w:val="000000"/>
          <w:kern w:val="0"/>
          <w:sz w:val="32"/>
          <w:szCs w:val="32"/>
        </w:rPr>
      </w:pPr>
      <w:r>
        <w:rPr>
          <w:rFonts w:hint="eastAsia" w:ascii="仿宋" w:hAnsi="仿宋" w:eastAsia="仿宋" w:cs="仿宋"/>
          <w:sz w:val="32"/>
          <w:szCs w:val="32"/>
        </w:rPr>
        <w:t>4.</w:t>
      </w:r>
      <w:r>
        <w:rPr>
          <w:rFonts w:hint="eastAsia" w:ascii="仿宋" w:hAnsi="仿宋" w:eastAsia="仿宋" w:cs="仿宋"/>
          <w:bCs/>
          <w:color w:val="000000"/>
          <w:kern w:val="0"/>
          <w:sz w:val="32"/>
          <w:szCs w:val="32"/>
        </w:rPr>
        <w:t>进一步加强项目管理。</w:t>
      </w:r>
      <w:r>
        <w:rPr>
          <w:rFonts w:hint="eastAsia" w:ascii="仿宋_GB2312" w:hAnsi="宋体" w:eastAsia="仿宋_GB2312"/>
          <w:color w:val="000000"/>
          <w:kern w:val="0"/>
          <w:sz w:val="32"/>
          <w:szCs w:val="32"/>
        </w:rPr>
        <w:t>对单个投资额达不到招投标法和我县财政评审和决算审计有关政策要求的有关项目，要采取整合打捆的形式，争取按招投标法和我县有关规定实施，确实不能整合打捆实施的项目，要坚持集体研究，民主管理，实行“阳光操作”，切实保证项目实施及资金运行的透明度。要节约举办“节会”，积极探索采取政府购买等方式举办民俗传统“节会”活动。</w:t>
      </w:r>
    </w:p>
    <w:p>
      <w:pPr>
        <w:pStyle w:val="4"/>
        <w:widowControl w:val="0"/>
        <w:spacing w:before="0" w:beforeAutospacing="0" w:after="0" w:afterAutospacing="0" w:line="560" w:lineRule="exact"/>
        <w:ind w:firstLine="480"/>
        <w:rPr>
          <w:rFonts w:ascii="仿宋" w:hAnsi="仿宋" w:eastAsia="仿宋" w:cs="仿宋"/>
          <w:sz w:val="32"/>
          <w:szCs w:val="32"/>
        </w:rPr>
      </w:pPr>
      <w:r>
        <w:rPr>
          <w:rFonts w:hint="eastAsia" w:ascii="仿宋" w:hAnsi="仿宋" w:eastAsia="仿宋" w:cs="仿宋"/>
          <w:sz w:val="32"/>
          <w:szCs w:val="32"/>
        </w:rPr>
        <w:t>（二）项目绩效目标未完成情况及原因分析。</w:t>
      </w:r>
    </w:p>
    <w:p>
      <w:pPr>
        <w:pStyle w:val="4"/>
        <w:widowControl w:val="0"/>
        <w:spacing w:before="0" w:beforeAutospacing="0" w:after="0" w:afterAutospacing="0" w:line="560" w:lineRule="exact"/>
        <w:ind w:firstLine="480"/>
        <w:rPr>
          <w:rFonts w:ascii="仿宋" w:hAnsi="仿宋" w:eastAsia="仿宋" w:cs="仿宋"/>
          <w:sz w:val="32"/>
          <w:szCs w:val="32"/>
        </w:rPr>
      </w:pPr>
      <w:r>
        <w:rPr>
          <w:rFonts w:hint="eastAsia" w:ascii="仿宋" w:hAnsi="仿宋" w:eastAsia="仿宋" w:cs="仿宋"/>
          <w:sz w:val="32"/>
          <w:szCs w:val="32"/>
        </w:rPr>
        <w:t>无。</w:t>
      </w:r>
    </w:p>
    <w:p>
      <w:pPr>
        <w:pStyle w:val="4"/>
        <w:widowControl w:val="0"/>
        <w:spacing w:before="0" w:beforeAutospacing="0" w:after="0" w:afterAutospacing="0" w:line="560" w:lineRule="exact"/>
        <w:ind w:firstLine="480"/>
        <w:rPr>
          <w:rFonts w:ascii="仿宋" w:hAnsi="仿宋" w:eastAsia="仿宋" w:cs="仿宋"/>
          <w:b/>
          <w:sz w:val="32"/>
          <w:szCs w:val="32"/>
        </w:rPr>
      </w:pPr>
      <w:r>
        <w:rPr>
          <w:rFonts w:hint="eastAsia" w:ascii="仿宋" w:hAnsi="仿宋" w:eastAsia="仿宋" w:cs="仿宋"/>
          <w:b/>
          <w:sz w:val="32"/>
          <w:szCs w:val="32"/>
        </w:rPr>
        <w:t>五、其他需要说明的问题</w:t>
      </w:r>
    </w:p>
    <w:p>
      <w:pPr>
        <w:pStyle w:val="4"/>
        <w:widowControl w:val="0"/>
        <w:spacing w:before="0" w:beforeAutospacing="0" w:after="0" w:afterAutospacing="0" w:line="560" w:lineRule="exact"/>
        <w:ind w:firstLine="480"/>
        <w:rPr>
          <w:rFonts w:ascii="仿宋" w:hAnsi="仿宋" w:eastAsia="仿宋" w:cs="仿宋"/>
          <w:sz w:val="32"/>
          <w:szCs w:val="32"/>
        </w:rPr>
      </w:pPr>
      <w:r>
        <w:rPr>
          <w:rFonts w:hint="eastAsia" w:ascii="仿宋" w:hAnsi="仿宋" w:eastAsia="仿宋" w:cs="仿宋"/>
          <w:sz w:val="32"/>
          <w:szCs w:val="32"/>
        </w:rPr>
        <w:t>无。</w:t>
      </w:r>
    </w:p>
    <w:p>
      <w:pPr>
        <w:pStyle w:val="4"/>
        <w:widowControl w:val="0"/>
        <w:spacing w:before="0" w:beforeAutospacing="0" w:after="0" w:afterAutospacing="0" w:line="560" w:lineRule="exact"/>
        <w:ind w:firstLine="480"/>
        <w:rPr>
          <w:rFonts w:ascii="仿宋" w:hAnsi="仿宋" w:eastAsia="仿宋" w:cs="仿宋"/>
          <w:b/>
          <w:bCs/>
          <w:sz w:val="32"/>
          <w:szCs w:val="32"/>
        </w:rPr>
      </w:pPr>
      <w:r>
        <w:rPr>
          <w:rFonts w:hint="eastAsia" w:ascii="仿宋" w:hAnsi="仿宋" w:eastAsia="仿宋" w:cs="仿宋"/>
          <w:b/>
          <w:bCs/>
          <w:sz w:val="32"/>
          <w:szCs w:val="32"/>
        </w:rPr>
        <w:t>六、附件（佐证依据）</w:t>
      </w:r>
    </w:p>
    <w:p>
      <w:pPr>
        <w:pStyle w:val="4"/>
        <w:widowControl w:val="0"/>
        <w:spacing w:before="0" w:beforeAutospacing="0" w:after="0" w:afterAutospacing="0" w:line="560" w:lineRule="exact"/>
        <w:ind w:firstLine="480"/>
        <w:rPr>
          <w:rFonts w:ascii="仿宋" w:hAnsi="仿宋" w:eastAsia="仿宋" w:cs="仿宋"/>
          <w:sz w:val="32"/>
          <w:szCs w:val="32"/>
        </w:rPr>
      </w:pPr>
      <w:r>
        <w:rPr>
          <w:rFonts w:hint="eastAsia" w:ascii="仿宋" w:hAnsi="仿宋" w:eastAsia="仿宋" w:cs="仿宋"/>
          <w:sz w:val="32"/>
          <w:szCs w:val="32"/>
        </w:rPr>
        <w:t>无。</w:t>
      </w:r>
    </w:p>
    <w:p>
      <w:pPr>
        <w:pStyle w:val="4"/>
        <w:widowControl w:val="0"/>
        <w:spacing w:before="0" w:beforeAutospacing="0" w:after="0" w:afterAutospacing="0" w:line="560" w:lineRule="exact"/>
        <w:rPr>
          <w:rFonts w:ascii="仿宋" w:hAnsi="仿宋" w:eastAsia="仿宋" w:cs="仿宋"/>
          <w:sz w:val="32"/>
          <w:szCs w:val="32"/>
        </w:rPr>
      </w:pPr>
      <w:r>
        <w:rPr>
          <w:rFonts w:hint="eastAsia" w:ascii="仿宋" w:hAnsi="仿宋" w:eastAsia="仿宋" w:cs="仿宋"/>
          <w:sz w:val="32"/>
          <w:szCs w:val="32"/>
        </w:rPr>
        <w:t> </w:t>
      </w:r>
    </w:p>
    <w:p>
      <w:pPr>
        <w:rPr>
          <w:rFonts w:eastAsia="仿宋_GB2312"/>
          <w:kern w:val="0"/>
          <w:sz w:val="28"/>
          <w:szCs w:val="28"/>
        </w:rPr>
      </w:pPr>
      <w:r>
        <w:rPr>
          <w:rFonts w:eastAsia="仿宋_GB2312"/>
          <w:sz w:val="28"/>
          <w:szCs w:val="28"/>
        </w:rPr>
        <w:t xml:space="preserve">                                                              </w:t>
      </w:r>
      <w:r>
        <w:rPr>
          <w:rFonts w:eastAsia="仿宋_GB2312"/>
          <w:kern w:val="0"/>
          <w:sz w:val="28"/>
          <w:szCs w:val="28"/>
        </w:rPr>
        <w:t xml:space="preserve">      项目单位（签）                        年     月     日</w:t>
      </w:r>
    </w:p>
    <w:p>
      <w:pPr>
        <w:pStyle w:val="4"/>
        <w:widowControl w:val="0"/>
        <w:spacing w:before="0" w:beforeAutospacing="0" w:after="0" w:afterAutospacing="0" w:line="520" w:lineRule="exact"/>
        <w:rPr>
          <w:rFonts w:ascii="Times New Roman" w:hAnsi="Times New Roman" w:eastAsia="仿宋_GB2312" w:cs="Times New Roman"/>
          <w:sz w:val="28"/>
          <w:szCs w:val="28"/>
        </w:rPr>
      </w:pPr>
    </w:p>
    <w:p>
      <w:pPr>
        <w:spacing w:line="400" w:lineRule="exact"/>
        <w:jc w:val="left"/>
        <w:rPr>
          <w:rFonts w:eastAsia="仿宋_GB2312"/>
          <w:kern w:val="0"/>
          <w:sz w:val="24"/>
        </w:rPr>
      </w:pPr>
    </w:p>
    <w:p/>
    <w:sectPr>
      <w:footerReference r:id="rId3" w:type="default"/>
      <w:footerReference r:id="rId4" w:type="even"/>
      <w:pgSz w:w="11906" w:h="16838"/>
      <w:pgMar w:top="1701" w:right="1361" w:bottom="1701" w:left="1701" w:header="1134" w:footer="124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粗宋简体">
    <w:altName w:val="宋体"/>
    <w:panose1 w:val="00000000000000000000"/>
    <w:charset w:val="86"/>
    <w:family w:val="script"/>
    <w:pitch w:val="default"/>
    <w:sig w:usb0="00000000" w:usb1="00000000" w:usb2="00000000" w:usb3="00000000" w:csb0="00040000" w:csb1="00000000"/>
  </w:font>
  <w:font w:name="Wingdings 2">
    <w:altName w:val="Wingdings"/>
    <w:panose1 w:val="00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6022" w:y="52"/>
      <w:rPr>
        <w:rStyle w:val="7"/>
        <w:rFonts w:ascii="宋体" w:hAnsi="宋体"/>
        <w:sz w:val="21"/>
        <w:szCs w:val="21"/>
      </w:rPr>
    </w:pPr>
    <w:r>
      <w:rPr>
        <w:rFonts w:ascii="宋体" w:hAnsi="宋体"/>
        <w:sz w:val="21"/>
        <w:szCs w:val="21"/>
      </w:rPr>
      <w:fldChar w:fldCharType="begin"/>
    </w:r>
    <w:r>
      <w:rPr>
        <w:rStyle w:val="7"/>
        <w:rFonts w:ascii="宋体" w:hAnsi="宋体"/>
        <w:sz w:val="21"/>
        <w:szCs w:val="21"/>
      </w:rPr>
      <w:instrText xml:space="preserve">PAGE  </w:instrText>
    </w:r>
    <w:r>
      <w:rPr>
        <w:rFonts w:ascii="宋体" w:hAnsi="宋体"/>
        <w:sz w:val="21"/>
        <w:szCs w:val="21"/>
      </w:rPr>
      <w:fldChar w:fldCharType="separate"/>
    </w:r>
    <w:r>
      <w:rPr>
        <w:rStyle w:val="7"/>
        <w:rFonts w:ascii="宋体" w:hAnsi="宋体"/>
        <w:sz w:val="21"/>
        <w:szCs w:val="21"/>
      </w:rPr>
      <w:t>- 1 -</w:t>
    </w:r>
    <w:r>
      <w:rPr>
        <w:rFonts w:ascii="宋体" w:hAnsi="宋体"/>
        <w:sz w:val="21"/>
        <w:szCs w:val="21"/>
      </w:rPr>
      <w:fldChar w:fldCharType="end"/>
    </w:r>
  </w:p>
  <w:p>
    <w:pPr>
      <w:pStyle w:val="2"/>
      <w:ind w:right="360"/>
      <w:rPr>
        <w:rFonts w:ascii="宋体" w:hAnsi="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868365"/>
    <w:multiLevelType w:val="singleLevel"/>
    <w:tmpl w:val="D386836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016693C"/>
    <w:rsid w:val="003749EC"/>
    <w:rsid w:val="00685C76"/>
    <w:rsid w:val="00702FA9"/>
    <w:rsid w:val="007C6917"/>
    <w:rsid w:val="00A841D9"/>
    <w:rsid w:val="00A94340"/>
    <w:rsid w:val="00BE7548"/>
    <w:rsid w:val="00CF7E04"/>
    <w:rsid w:val="00E92A4E"/>
    <w:rsid w:val="00F92716"/>
    <w:rsid w:val="433A0F54"/>
    <w:rsid w:val="60166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style>
  <w:style w:type="character" w:customStyle="1" w:styleId="8">
    <w:name w:val="页眉 Char"/>
    <w:basedOn w:val="6"/>
    <w:link w:val="3"/>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555</Words>
  <Characters>3166</Characters>
  <Lines>26</Lines>
  <Paragraphs>7</Paragraphs>
  <TotalTime>5</TotalTime>
  <ScaleCrop>false</ScaleCrop>
  <LinksUpToDate>false</LinksUpToDate>
  <CharactersWithSpaces>3714</CharactersWithSpaces>
  <Application>WPS Office_11.1.0.10650_F1E327BC-269C-435d-A152-05C5408002CA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2021-08-31T08:47:00Z</dcterms:created>
  <dc:creator>张有彬</dc:creator>
  <cp:lastModifiedBy>Administrator</cp:lastModifiedBy>
  <dcterms:modified xsi:type="dcterms:W3CDTF">2021-09-02T07:43:21Z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178F5C7523B44C7991E963A1041BD2BB</vt:lpwstr>
  </property>
</Properties>
</file>