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720" w:lineRule="auto"/>
        <w:ind w:firstLine="640" w:firstLineChars="200"/>
        <w:jc w:val="center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</w:rPr>
      </w:pPr>
      <w:r>
        <w:rPr>
          <w:rFonts w:hint="eastAsia" w:hAnsi="黑体" w:cs="黑体"/>
          <w:b w:val="0"/>
          <w:bCs/>
          <w:sz w:val="32"/>
          <w:szCs w:val="32"/>
          <w:lang w:val="en-US" w:eastAsia="zh-CN"/>
        </w:rPr>
        <w:t>教育局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关于</w:t>
      </w:r>
      <w:r>
        <w:rPr>
          <w:rFonts w:hint="eastAsia" w:ascii="Times New Roman" w:hAnsi="Times New Roman" w:eastAsia="仿宋_GB2312"/>
          <w:sz w:val="32"/>
          <w:szCs w:val="32"/>
        </w:rPr>
        <w:t>202</w:t>
      </w:r>
      <w:r>
        <w:rPr>
          <w:rFonts w:hint="eastAsia" w:ascii="Times New Roman" w:hAnsi="Times New Roman" w:eastAsia="仿宋_GB2312"/>
          <w:sz w:val="32"/>
          <w:szCs w:val="32"/>
          <w:lang w:val="en-US" w:eastAsia="zh-CN"/>
        </w:rPr>
        <w:t>2</w:t>
      </w:r>
      <w:r>
        <w:rPr>
          <w:rFonts w:hint="eastAsia" w:ascii="黑体" w:hAnsi="黑体" w:eastAsia="黑体" w:cs="黑体"/>
          <w:b w:val="0"/>
          <w:bCs/>
          <w:sz w:val="32"/>
          <w:szCs w:val="32"/>
        </w:rPr>
        <w:t>年度预算绩效情况的说明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02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0"/>
          <w:szCs w:val="30"/>
        </w:rPr>
      </w:pPr>
      <w:r>
        <w:rPr>
          <w:rFonts w:hint="eastAsia" w:ascii="楷体" w:hAnsi="楷体" w:eastAsia="楷体" w:cs="楷体"/>
          <w:b/>
          <w:bCs/>
          <w:sz w:val="30"/>
          <w:szCs w:val="30"/>
          <w:lang w:eastAsia="zh-CN"/>
        </w:rPr>
        <w:t>（一）</w:t>
      </w:r>
      <w:r>
        <w:rPr>
          <w:rFonts w:hint="eastAsia" w:ascii="楷体" w:hAnsi="楷体" w:eastAsia="楷体" w:cs="楷体"/>
          <w:b/>
          <w:bCs/>
          <w:sz w:val="30"/>
          <w:szCs w:val="30"/>
        </w:rPr>
        <w:t>部门整体支出绩效情况</w:t>
      </w:r>
    </w:p>
    <w:p>
      <w:pPr>
        <w:ind w:firstLine="643" w:firstLineChars="200"/>
        <w:rPr>
          <w:rFonts w:hint="default" w:eastAsia="仿宋"/>
          <w:b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1.财政财务管理制度及执行情况</w:t>
      </w:r>
      <w:bookmarkStart w:id="0" w:name="_GoBack"/>
      <w:bookmarkEnd w:id="0"/>
    </w:p>
    <w:p>
      <w:pPr>
        <w:pStyle w:val="7"/>
        <w:ind w:firstLine="800" w:firstLineChars="25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教育局</w:t>
      </w:r>
      <w:r>
        <w:rPr>
          <w:rFonts w:hint="eastAsia" w:ascii="仿宋" w:hAnsi="仿宋" w:eastAsia="仿宋"/>
          <w:sz w:val="32"/>
          <w:szCs w:val="32"/>
        </w:rPr>
        <w:t>本年实际收入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1600.12</w:t>
      </w:r>
      <w:r>
        <w:rPr>
          <w:rFonts w:hint="eastAsia" w:ascii="仿宋" w:hAnsi="仿宋" w:eastAsia="仿宋"/>
          <w:color w:val="010101"/>
          <w:sz w:val="32"/>
          <w:szCs w:val="32"/>
        </w:rPr>
        <w:t>万</w:t>
      </w:r>
      <w:r>
        <w:rPr>
          <w:rFonts w:hint="eastAsia" w:ascii="仿宋" w:hAnsi="仿宋" w:eastAsia="仿宋"/>
          <w:sz w:val="32"/>
          <w:szCs w:val="32"/>
        </w:rPr>
        <w:t>元，比年初预算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1023.99</w:t>
      </w:r>
      <w:r>
        <w:rPr>
          <w:rFonts w:hint="eastAsia" w:ascii="仿宋" w:hAnsi="仿宋" w:eastAsia="仿宋"/>
          <w:sz w:val="32"/>
          <w:szCs w:val="32"/>
        </w:rPr>
        <w:t>万元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增加了576.13</w:t>
      </w:r>
      <w:r>
        <w:rPr>
          <w:rFonts w:hint="eastAsia" w:ascii="仿宋" w:hAnsi="仿宋" w:eastAsia="仿宋"/>
          <w:sz w:val="32"/>
          <w:szCs w:val="32"/>
        </w:rPr>
        <w:t>万元。</w:t>
      </w:r>
      <w:r>
        <w:rPr>
          <w:rFonts w:hint="eastAsia" w:ascii="仿宋" w:hAnsi="仿宋" w:eastAsia="仿宋"/>
          <w:color w:val="auto"/>
          <w:sz w:val="32"/>
          <w:szCs w:val="32"/>
        </w:rPr>
        <w:t>主要原因是：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1.</w:t>
      </w:r>
      <w:r>
        <w:rPr>
          <w:rFonts w:hint="eastAsia" w:ascii="仿宋" w:hAnsi="仿宋" w:eastAsia="仿宋"/>
          <w:color w:val="auto"/>
          <w:sz w:val="32"/>
          <w:szCs w:val="32"/>
        </w:rPr>
        <w:t>因为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增加基础绩效奖，导致人员经费增加；2、因受经</w:t>
      </w:r>
      <w:r>
        <w:rPr>
          <w:rFonts w:hint="eastAsia" w:ascii="仿宋" w:hAnsi="仿宋" w:eastAsia="仿宋"/>
          <w:color w:val="auto"/>
          <w:sz w:val="32"/>
          <w:szCs w:val="32"/>
        </w:rPr>
        <w:t>济大环境的影响，</w:t>
      </w:r>
      <w:r>
        <w:rPr>
          <w:rFonts w:hint="eastAsia" w:ascii="仿宋" w:hAnsi="仿宋" w:eastAsia="仿宋"/>
          <w:sz w:val="32"/>
          <w:szCs w:val="32"/>
        </w:rPr>
        <w:t>以前年度很多票据积压，报不出账</w:t>
      </w:r>
      <w:r>
        <w:rPr>
          <w:rFonts w:hint="eastAsia" w:ascii="仿宋" w:hAnsi="仿宋" w:eastAsia="仿宋"/>
          <w:sz w:val="32"/>
          <w:szCs w:val="32"/>
          <w:lang w:eastAsia="zh-CN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很多</w:t>
      </w:r>
      <w:r>
        <w:rPr>
          <w:rFonts w:hint="eastAsia" w:ascii="仿宋" w:hAnsi="仿宋" w:eastAsia="仿宋"/>
          <w:sz w:val="32"/>
          <w:szCs w:val="32"/>
        </w:rPr>
        <w:t>发票到2</w:t>
      </w:r>
      <w:r>
        <w:rPr>
          <w:rFonts w:ascii="仿宋" w:hAnsi="仿宋" w:eastAsia="仿宋"/>
          <w:sz w:val="32"/>
          <w:szCs w:val="32"/>
        </w:rPr>
        <w:t>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sz w:val="32"/>
          <w:szCs w:val="32"/>
        </w:rPr>
        <w:t>年才得以报帐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。</w:t>
      </w:r>
    </w:p>
    <w:p>
      <w:pPr>
        <w:widowControl/>
        <w:shd w:val="clear" w:color="auto" w:fill="FFFFFF"/>
        <w:spacing w:line="360" w:lineRule="atLeast"/>
        <w:ind w:firstLine="640"/>
        <w:jc w:val="left"/>
        <w:rPr>
          <w:rFonts w:hint="eastAsia" w:ascii="仿宋" w:hAnsi="仿宋" w:eastAsia="仿宋" w:cs="仿宋"/>
          <w:color w:val="333333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教育局</w:t>
      </w:r>
      <w:r>
        <w:rPr>
          <w:rFonts w:ascii="仿宋" w:hAnsi="仿宋" w:eastAsia="仿宋" w:cs="仿宋"/>
          <w:kern w:val="0"/>
          <w:sz w:val="32"/>
          <w:szCs w:val="32"/>
        </w:rPr>
        <w:t>202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kern w:val="0"/>
          <w:sz w:val="32"/>
          <w:szCs w:val="32"/>
        </w:rPr>
        <w:t>支出总数为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1600.12</w:t>
      </w:r>
      <w:r>
        <w:rPr>
          <w:rFonts w:hint="eastAsia" w:ascii="仿宋" w:hAnsi="仿宋" w:eastAsia="仿宋" w:cs="仿宋"/>
          <w:kern w:val="0"/>
          <w:sz w:val="32"/>
          <w:szCs w:val="32"/>
        </w:rPr>
        <w:t>万元，按经济科目划分，其中工资福利支出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1103.12</w:t>
      </w:r>
      <w:r>
        <w:rPr>
          <w:rFonts w:hint="eastAsia" w:ascii="仿宋" w:hAnsi="仿宋" w:eastAsia="仿宋" w:cs="仿宋"/>
          <w:kern w:val="0"/>
          <w:sz w:val="32"/>
          <w:szCs w:val="32"/>
        </w:rPr>
        <w:t>万元，占全年支出的</w:t>
      </w:r>
      <w:r>
        <w:rPr>
          <w:rFonts w:ascii="仿宋" w:hAnsi="仿宋" w:eastAsia="仿宋" w:cs="仿宋"/>
          <w:kern w:val="0"/>
          <w:sz w:val="32"/>
          <w:szCs w:val="32"/>
        </w:rPr>
        <w:t>6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8.94</w:t>
      </w:r>
      <w:r>
        <w:rPr>
          <w:rFonts w:hint="eastAsia" w:ascii="仿宋" w:hAnsi="仿宋" w:eastAsia="仿宋" w:cs="仿宋"/>
          <w:kern w:val="0"/>
          <w:sz w:val="32"/>
          <w:szCs w:val="32"/>
        </w:rPr>
        <w:t>%，对个人和家庭的补助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308.06</w:t>
      </w:r>
      <w:r>
        <w:rPr>
          <w:rFonts w:hint="eastAsia" w:ascii="仿宋" w:hAnsi="仿宋" w:eastAsia="仿宋" w:cs="仿宋"/>
          <w:kern w:val="0"/>
          <w:sz w:val="32"/>
          <w:szCs w:val="32"/>
        </w:rPr>
        <w:t>万元，占全年支出的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19.25</w:t>
      </w:r>
      <w:r>
        <w:rPr>
          <w:rFonts w:hint="eastAsia" w:ascii="仿宋" w:hAnsi="仿宋" w:eastAsia="仿宋" w:cs="仿宋"/>
          <w:kern w:val="0"/>
          <w:sz w:val="32"/>
          <w:szCs w:val="32"/>
        </w:rPr>
        <w:t>%，商品服务支出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173.58</w:t>
      </w:r>
      <w:r>
        <w:rPr>
          <w:rFonts w:hint="eastAsia" w:ascii="仿宋" w:hAnsi="仿宋" w:eastAsia="仿宋" w:cs="仿宋"/>
          <w:kern w:val="0"/>
          <w:sz w:val="32"/>
          <w:szCs w:val="32"/>
        </w:rPr>
        <w:t>万元，占全年支出的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10.85</w:t>
      </w:r>
      <w:r>
        <w:rPr>
          <w:rFonts w:hint="eastAsia" w:ascii="仿宋" w:hAnsi="仿宋" w:eastAsia="仿宋" w:cs="仿宋"/>
          <w:kern w:val="0"/>
          <w:sz w:val="32"/>
          <w:szCs w:val="32"/>
        </w:rPr>
        <w:t>%，</w:t>
      </w:r>
      <w:r>
        <w:rPr>
          <w:rFonts w:hint="eastAsia" w:ascii="仿宋" w:hAnsi="仿宋" w:eastAsia="仿宋" w:cs="仿宋"/>
          <w:sz w:val="32"/>
          <w:szCs w:val="32"/>
        </w:rPr>
        <w:t>其他资本性支出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15.36</w:t>
      </w:r>
      <w:r>
        <w:rPr>
          <w:rFonts w:hint="eastAsia" w:ascii="仿宋" w:hAnsi="仿宋" w:eastAsia="仿宋" w:cs="仿宋"/>
          <w:sz w:val="32"/>
          <w:szCs w:val="32"/>
        </w:rPr>
        <w:t>万元，</w:t>
      </w:r>
      <w:r>
        <w:rPr>
          <w:rFonts w:hint="eastAsia" w:ascii="仿宋" w:hAnsi="仿宋" w:eastAsia="仿宋" w:cs="仿宋"/>
          <w:kern w:val="0"/>
          <w:sz w:val="32"/>
          <w:szCs w:val="32"/>
        </w:rPr>
        <w:t>占全年支出的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0.96</w:t>
      </w:r>
      <w:r>
        <w:rPr>
          <w:rFonts w:hint="eastAsia" w:ascii="仿宋" w:hAnsi="仿宋" w:eastAsia="仿宋" w:cs="仿宋"/>
          <w:kern w:val="0"/>
          <w:sz w:val="32"/>
          <w:szCs w:val="32"/>
        </w:rPr>
        <w:t>%。与上年度相比，2</w:t>
      </w:r>
      <w:r>
        <w:rPr>
          <w:rFonts w:ascii="仿宋" w:hAnsi="仿宋" w:eastAsia="仿宋" w:cs="仿宋"/>
          <w:kern w:val="0"/>
          <w:sz w:val="32"/>
          <w:szCs w:val="32"/>
        </w:rPr>
        <w:t>02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年度教育局机关总支出由上年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  <w:lang w:val="en-US" w:eastAsia="zh-CN"/>
        </w:rPr>
        <w:t>1420.41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万元增加到</w:t>
      </w:r>
      <w:r>
        <w:rPr>
          <w:rFonts w:hint="eastAsia" w:ascii="仿宋" w:hAnsi="仿宋" w:eastAsia="仿宋" w:cs="仿宋"/>
          <w:kern w:val="0"/>
          <w:sz w:val="32"/>
          <w:szCs w:val="32"/>
          <w:lang w:val="en-US" w:eastAsia="zh-CN"/>
        </w:rPr>
        <w:t>1600.12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万元，增加了</w:t>
      </w:r>
      <w:r>
        <w:rPr>
          <w:rFonts w:ascii="仿宋" w:hAnsi="仿宋" w:eastAsia="仿宋" w:cs="仿宋"/>
          <w:color w:val="333333"/>
          <w:kern w:val="0"/>
          <w:sz w:val="32"/>
          <w:szCs w:val="32"/>
        </w:rPr>
        <w:t>2.11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%，主要原因是</w:t>
      </w:r>
      <w:r>
        <w:rPr>
          <w:rFonts w:hint="eastAsia" w:ascii="仿宋" w:hAnsi="仿宋" w:eastAsia="仿宋"/>
          <w:sz w:val="32"/>
          <w:szCs w:val="32"/>
        </w:rPr>
        <w:t>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其一</w:t>
      </w:r>
      <w:r>
        <w:rPr>
          <w:rFonts w:hint="eastAsia" w:ascii="仿宋" w:hAnsi="仿宋" w:eastAsia="仿宋"/>
          <w:sz w:val="32"/>
          <w:szCs w:val="32"/>
        </w:rPr>
        <w:t>因为受经济大环境的影响，财政压缩节减开支，以前年度很多票据积压，报不出账，有些发票到2</w:t>
      </w:r>
      <w:r>
        <w:rPr>
          <w:rFonts w:ascii="仿宋" w:hAnsi="仿宋" w:eastAsia="仿宋"/>
          <w:sz w:val="32"/>
          <w:szCs w:val="32"/>
        </w:rPr>
        <w:t>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sz w:val="32"/>
          <w:szCs w:val="32"/>
        </w:rPr>
        <w:t>年才得以报帐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。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  <w:lang w:val="en-US" w:eastAsia="zh-CN"/>
        </w:rPr>
        <w:t>其二</w:t>
      </w:r>
      <w:r>
        <w:rPr>
          <w:rFonts w:hint="eastAsia" w:ascii="仿宋" w:hAnsi="仿宋" w:eastAsia="仿宋"/>
          <w:color w:val="auto"/>
          <w:sz w:val="32"/>
          <w:szCs w:val="32"/>
        </w:rPr>
        <w:t>因为</w:t>
      </w:r>
      <w:r>
        <w:rPr>
          <w:rFonts w:hint="eastAsia" w:ascii="仿宋" w:hAnsi="仿宋" w:eastAsia="仿宋"/>
          <w:color w:val="auto"/>
          <w:sz w:val="32"/>
          <w:szCs w:val="32"/>
          <w:lang w:val="en-US" w:eastAsia="zh-CN"/>
        </w:rPr>
        <w:t>增加基础绩效奖，导致人员经费增加</w:t>
      </w:r>
      <w:r>
        <w:rPr>
          <w:rFonts w:hint="eastAsia" w:ascii="仿宋" w:hAnsi="仿宋" w:eastAsia="仿宋" w:cs="仿宋"/>
          <w:color w:val="333333"/>
          <w:kern w:val="0"/>
          <w:sz w:val="32"/>
          <w:szCs w:val="32"/>
        </w:rPr>
        <w:t>。</w:t>
      </w:r>
    </w:p>
    <w:p>
      <w:pPr>
        <w:spacing w:line="520" w:lineRule="exact"/>
        <w:ind w:firstLine="627" w:firstLineChars="196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color w:val="333333"/>
          <w:kern w:val="0"/>
          <w:sz w:val="32"/>
          <w:szCs w:val="32"/>
          <w:lang w:val="en-US" w:eastAsia="zh-CN"/>
        </w:rPr>
        <w:t xml:space="preserve"> 2.教育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局机关整体支出绩效情况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color w:val="333333"/>
          <w:kern w:val="0"/>
          <w:sz w:val="32"/>
          <w:szCs w:val="32"/>
          <w:lang w:val="en-US" w:eastAsia="zh-CN"/>
        </w:rPr>
        <w:t>（1）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落实教育2.0，全面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提升学生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综合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素质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</w:pP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2）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eastAsia="zh-CN"/>
        </w:rPr>
        <w:t>）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坚持以人为本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</w:rPr>
        <w:t>，教育发展得到保障</w:t>
      </w:r>
    </w:p>
    <w:p>
      <w:pPr>
        <w:pStyle w:val="2"/>
        <w:ind w:firstLine="640" w:firstLineChars="200"/>
        <w:jc w:val="both"/>
        <w:rPr>
          <w:rFonts w:hint="eastAsia" w:ascii="Times New Roman" w:hAnsi="Times New Roman" w:eastAsia="仿宋" w:cs="仿宋"/>
          <w:b w:val="0"/>
          <w:bCs w:val="0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（3）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安全保障不断夯实。</w:t>
      </w:r>
      <w:r>
        <w:rPr>
          <w:rFonts w:hint="eastAsia" w:ascii="Times New Roman" w:hAnsi="Times New Roman" w:eastAsia="楷体_GB2312" w:cs="楷体_GB2312"/>
          <w:b w:val="0"/>
          <w:bCs w:val="0"/>
          <w:sz w:val="32"/>
          <w:szCs w:val="32"/>
        </w:rPr>
        <w:t>一是</w:t>
      </w:r>
      <w:r>
        <w:rPr>
          <w:rFonts w:hint="eastAsia" w:ascii="Times New Roman" w:hAnsi="Times New Roman" w:eastAsia="仿宋" w:cs="仿宋"/>
          <w:b w:val="0"/>
          <w:bCs w:val="0"/>
          <w:color w:val="000000"/>
          <w:sz w:val="32"/>
          <w:szCs w:val="32"/>
        </w:rPr>
        <w:t>扎实做好信访维稳工作。</w:t>
      </w:r>
    </w:p>
    <w:p>
      <w:pPr>
        <w:pStyle w:val="2"/>
        <w:ind w:firstLine="640" w:firstLineChars="200"/>
        <w:jc w:val="both"/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4）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教育环境不断优化。</w:t>
      </w:r>
      <w:r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</w:rPr>
        <w:t>一是重教氛围日益浓厚，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default" w:eastAsia="仿宋"/>
          <w:lang w:val="en-US" w:eastAsia="zh-CN"/>
        </w:rPr>
      </w:pPr>
      <w:r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lang w:eastAsia="zh-CN"/>
        </w:rPr>
        <w:t>（</w:t>
      </w:r>
      <w:r>
        <w:rPr>
          <w:rFonts w:hint="eastAsia" w:ascii="Times New Roman" w:hAnsi="Times New Roman" w:eastAsia="仿宋_GB2312" w:cs="仿宋_GB2312"/>
          <w:b w:val="0"/>
          <w:bCs w:val="0"/>
          <w:sz w:val="32"/>
          <w:szCs w:val="32"/>
          <w:lang w:val="en-US" w:eastAsia="zh-CN"/>
        </w:rPr>
        <w:t>5）</w:t>
      </w:r>
      <w:r>
        <w:rPr>
          <w:rFonts w:hint="eastAsia" w:ascii="楷体_GB2312" w:hAnsi="楷体_GB2312" w:eastAsia="楷体_GB2312" w:cs="楷体_GB2312"/>
          <w:b w:val="0"/>
          <w:bCs w:val="0"/>
          <w:sz w:val="32"/>
          <w:szCs w:val="32"/>
          <w:lang w:val="en-US" w:eastAsia="zh-CN"/>
        </w:rPr>
        <w:t>教育成果精彩纷呈。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据统计，</w:t>
      </w: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2</w:t>
      </w:r>
      <w:r>
        <w:rPr>
          <w:rFonts w:ascii="Times New Roman" w:hAnsi="Times New Roman" w:eastAsia="仿宋_GB2312"/>
          <w:bCs/>
          <w:color w:val="000000"/>
          <w:sz w:val="32"/>
          <w:szCs w:val="32"/>
        </w:rPr>
        <w:t>022</w:t>
      </w: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年高考本科上线4</w:t>
      </w:r>
      <w:r>
        <w:rPr>
          <w:rFonts w:ascii="Times New Roman" w:hAnsi="Times New Roman" w:eastAsia="仿宋_GB2312"/>
          <w:bCs/>
          <w:color w:val="000000"/>
          <w:sz w:val="32"/>
          <w:szCs w:val="32"/>
        </w:rPr>
        <w:t>81</w:t>
      </w: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人，上线率</w:t>
      </w:r>
      <w:r>
        <w:rPr>
          <w:rFonts w:ascii="Times New Roman" w:hAnsi="Times New Roman" w:eastAsia="仿宋_GB2312"/>
          <w:bCs/>
          <w:color w:val="000000"/>
          <w:sz w:val="32"/>
          <w:szCs w:val="32"/>
        </w:rPr>
        <w:t>65.62%</w:t>
      </w: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，本科录取共计420人，录取率为57.3%。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</w:rPr>
        <w:t>新晃县被评为湖南省“2021年幼小科学衔接优秀试验区”，一完小被评为湖南省评为“2021年幼小科学衔接优秀试点校”，新晃县幼儿园被评为湖南省“2021年幼小科学衔接优秀试点园”。全年荣获第2</w:t>
      </w:r>
      <w:r>
        <w:rPr>
          <w:rFonts w:ascii="Times New Roman" w:hAnsi="Times New Roman" w:eastAsia="仿宋_GB2312" w:cs="仿宋_GB2312"/>
          <w:color w:val="auto"/>
          <w:sz w:val="32"/>
          <w:szCs w:val="32"/>
        </w:rPr>
        <w:t>2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</w:rPr>
        <w:t>届、第2</w:t>
      </w:r>
      <w:r>
        <w:rPr>
          <w:rFonts w:ascii="Times New Roman" w:hAnsi="Times New Roman" w:eastAsia="仿宋_GB2312" w:cs="仿宋_GB2312"/>
          <w:color w:val="auto"/>
          <w:sz w:val="32"/>
          <w:szCs w:val="32"/>
        </w:rPr>
        <w:t>3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</w:rPr>
        <w:t>届“湖南省中小学生信息技术提升实践活动优秀组织奖”“湖南省学校消防安全教育教学竞赛二等奖”“2022年怀化市初中学生篮球比赛男子组第二名”“2</w:t>
      </w:r>
      <w:r>
        <w:rPr>
          <w:rFonts w:ascii="Times New Roman" w:hAnsi="Times New Roman" w:eastAsia="仿宋_GB2312" w:cs="仿宋_GB2312"/>
          <w:color w:val="auto"/>
          <w:sz w:val="32"/>
          <w:szCs w:val="32"/>
        </w:rPr>
        <w:t>021</w:t>
      </w:r>
      <w:r>
        <w:rPr>
          <w:rFonts w:hint="eastAsia" w:ascii="Times New Roman" w:hAnsi="Times New Roman" w:eastAsia="仿宋_GB2312" w:cs="仿宋_GB2312"/>
          <w:color w:val="auto"/>
          <w:sz w:val="32"/>
          <w:szCs w:val="32"/>
        </w:rPr>
        <w:t>年度全市教育新闻宣传工作先进单位”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600" w:lineRule="exact"/>
        <w:ind w:firstLine="602" w:firstLineChars="200"/>
        <w:jc w:val="left"/>
        <w:textAlignment w:val="auto"/>
        <w:rPr>
          <w:rFonts w:hint="eastAsia" w:ascii="楷体" w:hAnsi="楷体" w:eastAsia="楷体" w:cs="楷体"/>
          <w:b/>
          <w:bCs/>
          <w:sz w:val="30"/>
          <w:szCs w:val="30"/>
        </w:rPr>
      </w:pPr>
      <w:r>
        <w:rPr>
          <w:rFonts w:hint="eastAsia" w:ascii="楷体" w:hAnsi="楷体" w:eastAsia="楷体" w:cs="楷体"/>
          <w:b/>
          <w:bCs/>
          <w:sz w:val="30"/>
          <w:szCs w:val="30"/>
          <w:lang w:eastAsia="zh-CN"/>
        </w:rPr>
        <w:t>（二）</w:t>
      </w:r>
      <w:r>
        <w:rPr>
          <w:rFonts w:hint="eastAsia" w:ascii="楷体" w:hAnsi="楷体" w:eastAsia="楷体" w:cs="楷体"/>
          <w:b/>
          <w:bCs/>
          <w:sz w:val="30"/>
          <w:szCs w:val="30"/>
        </w:rPr>
        <w:t>存在的问题及原因分析</w:t>
      </w:r>
    </w:p>
    <w:p>
      <w:pPr>
        <w:spacing w:line="520" w:lineRule="exact"/>
        <w:ind w:firstLine="640"/>
        <w:rPr>
          <w:rFonts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一是工作机制有待进一步完善，由于平时工作中未及时开展绩效动态监控工作，绩效动态监控工作容易滞后。</w:t>
      </w:r>
    </w:p>
    <w:p>
      <w:pPr>
        <w:spacing w:line="520" w:lineRule="exact"/>
        <w:ind w:firstLine="640"/>
        <w:rPr>
          <w:rFonts w:hint="eastAsia" w:ascii="仿宋" w:hAnsi="仿宋" w:eastAsia="仿宋" w:cs="仿宋"/>
          <w:kern w:val="0"/>
          <w:sz w:val="32"/>
          <w:szCs w:val="32"/>
        </w:rPr>
      </w:pPr>
      <w:r>
        <w:rPr>
          <w:rFonts w:hint="eastAsia" w:ascii="仿宋" w:hAnsi="仿宋" w:eastAsia="仿宋" w:cs="仿宋"/>
          <w:kern w:val="0"/>
          <w:sz w:val="32"/>
          <w:szCs w:val="32"/>
        </w:rPr>
        <w:t>二是单位在部门整体支出的资金安排和使用上仍有不可预见性，在实际工作中有资金延迟到位的情况。</w:t>
      </w:r>
    </w:p>
    <w:p>
      <w:pPr>
        <w:pStyle w:val="4"/>
        <w:shd w:val="clear" w:color="auto" w:fill="FFFFFF"/>
        <w:spacing w:before="0" w:beforeAutospacing="0" w:after="0" w:afterAutospacing="0" w:line="510" w:lineRule="atLeast"/>
        <w:ind w:firstLine="640" w:firstLineChars="200"/>
        <w:jc w:val="both"/>
        <w:rPr>
          <w:rFonts w:ascii="仿宋" w:hAnsi="仿宋" w:eastAsia="仿宋"/>
          <w:color w:val="333333"/>
          <w:sz w:val="32"/>
          <w:szCs w:val="32"/>
        </w:rPr>
      </w:pPr>
      <w:r>
        <w:rPr>
          <w:rFonts w:hint="eastAsia" w:ascii="仿宋" w:hAnsi="仿宋" w:eastAsia="仿宋"/>
          <w:color w:val="333333"/>
          <w:sz w:val="32"/>
          <w:szCs w:val="32"/>
        </w:rPr>
        <w:t>三是预算绩效管理工作相对滞后。近年来实施财务精细化管理后，局机关预算编制由财务工作者统筹，财务工作者除应对单位日常财务管理等外，无更多精力承担预算项目绩效管理培训、预算编制审核和预算管理绩效跟踪管理。</w:t>
      </w:r>
    </w:p>
    <w:p>
      <w:pPr>
        <w:pStyle w:val="4"/>
        <w:shd w:val="clear" w:color="auto" w:fill="FFFFFF"/>
        <w:spacing w:before="0" w:beforeAutospacing="0" w:after="0" w:afterAutospacing="0" w:line="510" w:lineRule="atLeast"/>
        <w:ind w:firstLine="640" w:firstLineChars="200"/>
        <w:jc w:val="both"/>
        <w:rPr>
          <w:rFonts w:hint="eastAsia" w:ascii="仿宋" w:hAnsi="仿宋" w:eastAsia="仿宋"/>
          <w:color w:val="333333"/>
          <w:sz w:val="32"/>
          <w:szCs w:val="32"/>
        </w:rPr>
      </w:pPr>
      <w:r>
        <w:rPr>
          <w:rFonts w:hint="eastAsia" w:ascii="仿宋" w:hAnsi="仿宋" w:eastAsia="仿宋"/>
          <w:color w:val="333333"/>
          <w:sz w:val="32"/>
          <w:szCs w:val="32"/>
        </w:rPr>
        <w:t>四是部分项目执行与预算支出指标差距较大。部分项目在预算时未能充分预料和考虑到来年的政策变化，导致实际支出与预算相差较大。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??_GB2312">
    <w:altName w:val="Segoe Print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IwZDdmNzFhNzNhMTI3MzMzNGUyMzUxOWRiZTI1MTQifQ=="/>
  </w:docVars>
  <w:rsids>
    <w:rsidRoot w:val="00000000"/>
    <w:rsid w:val="4D233EAE"/>
    <w:rsid w:val="5B2D78E8"/>
    <w:rsid w:val="6BF775EC"/>
    <w:rsid w:val="6F58276B"/>
    <w:rsid w:val="72734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spacing w:after="200"/>
      <w:ind w:firstLine="100" w:firstLineChars="100"/>
      <w:jc w:val="center"/>
    </w:pPr>
    <w:rPr>
      <w:rFonts w:ascii="??_GB2312" w:hAnsi="??_GB2312" w:cs="??_GB2312"/>
      <w:sz w:val="24"/>
      <w:szCs w:val="24"/>
    </w:rPr>
  </w:style>
  <w:style w:type="paragraph" w:styleId="3">
    <w:name w:val="Body Text"/>
    <w:basedOn w:val="1"/>
    <w:qFormat/>
    <w:uiPriority w:val="0"/>
    <w:pPr>
      <w:spacing w:after="120"/>
    </w:pPr>
  </w:style>
  <w:style w:type="paragraph" w:styleId="4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黑体" w:eastAsia="黑体" w:cs="黑体" w:hAnsiTheme="minorHAnsi"/>
      <w:color w:val="000000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lenovo</cp:lastModifiedBy>
  <dcterms:modified xsi:type="dcterms:W3CDTF">2023-10-26T13:28:47Z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02B60060DEB5430BA133B786EE0A88AB_13</vt:lpwstr>
  </property>
</Properties>
</file>