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643"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年度一般公共预算项目支出全面开展绩效自评，其中，一级项目</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个，二级项目</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个，共涉及资金</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万元，占一般公共预算项目支出总额的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w:t>
      </w:r>
      <w:r>
        <w:rPr>
          <w:rFonts w:hint="eastAsia" w:cs="黑体" w:asciiTheme="minorEastAsia" w:hAnsiTheme="minorEastAsia"/>
          <w:color w:val="000000"/>
          <w:kern w:val="0"/>
          <w:sz w:val="32"/>
          <w:szCs w:val="32"/>
          <w:lang w:val="en-US" w:eastAsia="zh-CN"/>
        </w:rPr>
        <w:t>0个</w:t>
      </w:r>
      <w:r>
        <w:rPr>
          <w:rFonts w:hint="eastAsia" w:cs="黑体" w:asciiTheme="minorEastAsia" w:hAnsiTheme="minorEastAsia"/>
          <w:color w:val="000000"/>
          <w:kern w:val="0"/>
          <w:sz w:val="32"/>
          <w:szCs w:val="32"/>
        </w:rPr>
        <w:t>政府性基金预算项目支出开展绩效自评，共涉及资金</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万元，占政府性基金预算项目支出总额的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个国有资本经营预算项目支出开展绩效自评，共涉及资金</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万元，占国有资本经营预算项目支出总额的</w:t>
      </w:r>
      <w:r>
        <w:rPr>
          <w:rFonts w:cs="黑体" w:asciiTheme="minorEastAsia" w:hAnsiTheme="minorEastAsia"/>
          <w:color w:val="000000"/>
          <w:kern w:val="0"/>
          <w:sz w:val="32"/>
          <w:szCs w:val="32"/>
        </w:rPr>
        <w:t>X</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hint="eastAsia" w:asciiTheme="minorEastAsia" w:hAnsiTheme="minorEastAsia" w:eastAsiaTheme="minorEastAsia" w:cstheme="minorEastAsia"/>
          <w:b w:val="0"/>
          <w:bCs w:val="0"/>
          <w:sz w:val="28"/>
          <w:szCs w:val="28"/>
        </w:rPr>
      </w:pPr>
      <w:r>
        <w:rPr>
          <w:rFonts w:hint="eastAsia" w:cs="黑体" w:asciiTheme="minorEastAsia" w:hAnsiTheme="minorEastAsia"/>
          <w:color w:val="000000"/>
          <w:kern w:val="0"/>
          <w:sz w:val="32"/>
          <w:szCs w:val="32"/>
        </w:rPr>
        <w:t>我部门组织对“</w:t>
      </w:r>
      <w:r>
        <w:rPr>
          <w:rFonts w:hint="eastAsia" w:cs="黑体" w:asciiTheme="minorEastAsia" w:hAnsiTheme="minorEastAsia"/>
          <w:color w:val="000000"/>
          <w:kern w:val="0"/>
          <w:sz w:val="32"/>
          <w:szCs w:val="32"/>
          <w:lang w:eastAsia="zh-CN"/>
        </w:rPr>
        <w:t>教育局</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个单位开展整体支出绩效评价，涉及一般公共预算支出</w:t>
      </w:r>
      <w:r>
        <w:rPr>
          <w:rFonts w:hint="eastAsia" w:cs="黑体" w:asciiTheme="minorEastAsia" w:hAnsiTheme="minorEastAsia"/>
          <w:color w:val="000000"/>
          <w:kern w:val="0"/>
          <w:sz w:val="32"/>
          <w:szCs w:val="32"/>
          <w:lang w:val="en-US" w:eastAsia="zh-CN"/>
        </w:rPr>
        <w:t>1420.41</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万元。从评价情况来看，</w:t>
      </w:r>
      <w:r>
        <w:rPr>
          <w:rFonts w:hint="eastAsia" w:asciiTheme="minorEastAsia" w:hAnsiTheme="minorEastAsia" w:eastAsiaTheme="minorEastAsia" w:cstheme="minorEastAsia"/>
          <w:b w:val="0"/>
          <w:bCs w:val="0"/>
          <w:sz w:val="28"/>
          <w:szCs w:val="28"/>
        </w:rPr>
        <w:t>局机关整体支出绩效情况</w:t>
      </w:r>
    </w:p>
    <w:p>
      <w:pPr>
        <w:spacing w:line="580" w:lineRule="exact"/>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color w:val="000000"/>
          <w:sz w:val="28"/>
          <w:szCs w:val="28"/>
        </w:rPr>
        <w:t>1.</w:t>
      </w:r>
      <w:r>
        <w:rPr>
          <w:rFonts w:hint="eastAsia" w:asciiTheme="minorEastAsia" w:hAnsiTheme="minorEastAsia" w:eastAsiaTheme="minorEastAsia" w:cstheme="minorEastAsia"/>
          <w:b/>
          <w:sz w:val="28"/>
          <w:szCs w:val="28"/>
        </w:rPr>
        <w:t xml:space="preserve"> 教育质量稳步提升。立德树人成效明显。</w:t>
      </w:r>
      <w:r>
        <w:rPr>
          <w:rFonts w:hint="eastAsia" w:asciiTheme="minorEastAsia" w:hAnsiTheme="minorEastAsia" w:eastAsiaTheme="minorEastAsia" w:cstheme="minorEastAsia"/>
          <w:sz w:val="28"/>
          <w:szCs w:val="28"/>
        </w:rPr>
        <w:t>2021年是我县新高考“3+1+2”模式落地第一年。全县本科以上录取452人，本科以上录取率新晃一中达50.4%，恒雅中学为17.3%，其中考上985高校9人、211高校23人。新晃一中学生杨朗被清华大学土木工程系录取，胡钊华被空军航空大学与北京航空航天大学录取为双学籍空军飞行员，成为12年来怀化首位获得双</w:t>
      </w:r>
      <w:bookmarkStart w:id="0" w:name="_GoBack"/>
      <w:bookmarkEnd w:id="0"/>
      <w:r>
        <w:rPr>
          <w:rFonts w:hint="eastAsia" w:asciiTheme="minorEastAsia" w:hAnsiTheme="minorEastAsia" w:eastAsiaTheme="minorEastAsia" w:cstheme="minorEastAsia"/>
          <w:sz w:val="28"/>
          <w:szCs w:val="28"/>
        </w:rPr>
        <w:t>学籍培养的飞行员。普通高中学业水平合格性考试高二九科合格率99.32%；高一四科合格率99.56%，均稳居全市前列。</w:t>
      </w:r>
    </w:p>
    <w:p>
      <w:pPr>
        <w:spacing w:line="580" w:lineRule="exact"/>
        <w:ind w:firstLine="560" w:firstLineChars="20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sz w:val="28"/>
          <w:szCs w:val="28"/>
        </w:rPr>
        <w:t>被教育部评为“2021年国家义务教育质量监测实施优秀组织单位”</w:t>
      </w:r>
      <w:r>
        <w:rPr>
          <w:rFonts w:hint="eastAsia" w:asciiTheme="minorEastAsia" w:hAnsiTheme="minorEastAsia" w:eastAsiaTheme="minorEastAsia" w:cstheme="minorEastAsia"/>
          <w:sz w:val="28"/>
          <w:szCs w:val="28"/>
        </w:rPr>
        <w:t>。获怀化市2021年中华经典诵读写讲系列活动优秀组织奖。参加“2021年怀化市初中学生男子篮球比赛”获第三名。参加“怀化市2021年中小学机器人竞赛”获机器人AI挑战赛小学、初中、高中一等奖。参加“湖南省中小学机器人竞赛”获小学组一等奖、初中组二等奖。县教育局被评为第二十二届湖南省中小学生信息素养提升实践活动最佳组织奖。</w:t>
      </w:r>
    </w:p>
    <w:p>
      <w:pPr>
        <w:spacing w:line="5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2020年12月，争取教育部“安吉游戏”推广国家级实验区落户我县（全省仅长沙市岳麓区和新晃县）。我们坚持“少花钱、多花心”，将“安吉游戏”本土化、侗民族化，实验非常成功。</w:t>
      </w:r>
      <w:r>
        <w:rPr>
          <w:rStyle w:val="6"/>
          <w:rFonts w:hint="eastAsia" w:asciiTheme="minorEastAsia" w:hAnsiTheme="minorEastAsia" w:eastAsiaTheme="minorEastAsia" w:cstheme="minorEastAsia"/>
          <w:sz w:val="28"/>
          <w:szCs w:val="28"/>
        </w:rPr>
        <w:t>5月21日，</w:t>
      </w:r>
      <w:r>
        <w:rPr>
          <w:rFonts w:hint="eastAsia" w:asciiTheme="minorEastAsia" w:hAnsiTheme="minorEastAsia" w:eastAsiaTheme="minorEastAsia" w:cstheme="minorEastAsia"/>
          <w:sz w:val="28"/>
          <w:szCs w:val="28"/>
        </w:rPr>
        <w:t>《湖南教育快讯》刊发《新晃侗族自治县大力推广“安吉游戏”模式提高保教质量》。5月份以来，共接待全省各县市区学前教育同仁23批次4000余人次来我县学习考察“安吉游戏”新晃模式。2021年10月，县幼儿园又被选定为湖南省幼小衔接试点园，一完小为湖南省幼小衔接试点校。</w:t>
      </w:r>
    </w:p>
    <w:p>
      <w:pPr>
        <w:spacing w:line="5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月成功承办怀化市中等职业学校开展“少年工匠心向党，青春奋进新时代”主题教育活动男子篮球赛和女子排球赛，获得男子篮球赛亚军。报名参加高考学生103人，78人考上大学，高考升学率达76%，其中对口高考班学生杨壁妃以650分位列全省第19名被吉首大学录取。除上大学之外的毕业生250人，就业率达100%。开展烹饪专业技能培训近400人。通过全省中职学校办学条件达标验收（全市仅两所达标）。</w:t>
      </w:r>
    </w:p>
    <w:p>
      <w:pPr>
        <w:spacing w:line="580" w:lineRule="exact"/>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2. 加强师德师风建设。</w:t>
      </w:r>
      <w:r>
        <w:rPr>
          <w:rFonts w:hint="eastAsia" w:asciiTheme="minorEastAsia" w:hAnsiTheme="minorEastAsia" w:eastAsiaTheme="minorEastAsia" w:cstheme="minorEastAsia"/>
          <w:sz w:val="28"/>
          <w:szCs w:val="28"/>
        </w:rPr>
        <w:t>出台《新晃侗族自治县2021年师德师风建设工作方案》。编制《师德师风600题库》，并随机抽取100题开展“教师素养”达标检测，做到教职员工全覆盖。组织全体教师学习“时代楷模”张桂梅校长先进事迹，开展“身边人、身边事”师德师风警示教育。组织3000余名教师学习《师德师风教育读本》并上交学习心得，撰写《师德师风问题自我对照检查表》3058份。获评市级优秀教师2名、优秀校长1名、最美乡村教师1名。严肃查处教师违背师德师风行为，给予书面检讨处理3人、提醒谈话处理2人、政务警告处分5人、党内警告处分2人。</w:t>
      </w:r>
    </w:p>
    <w:p>
      <w:pPr>
        <w:spacing w:line="580" w:lineRule="exact"/>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3、</w:t>
      </w:r>
      <w:r>
        <w:rPr>
          <w:rFonts w:hint="eastAsia" w:asciiTheme="minorEastAsia" w:hAnsiTheme="minorEastAsia" w:eastAsiaTheme="minorEastAsia" w:cstheme="minorEastAsia"/>
          <w:b/>
          <w:bCs/>
          <w:sz w:val="28"/>
          <w:szCs w:val="28"/>
        </w:rPr>
        <w:t>落实“双减”政策。</w:t>
      </w:r>
      <w:r>
        <w:rPr>
          <w:rFonts w:hint="eastAsia" w:asciiTheme="minorEastAsia" w:hAnsiTheme="minorEastAsia" w:eastAsiaTheme="minorEastAsia" w:cstheme="minorEastAsia"/>
          <w:sz w:val="28"/>
          <w:szCs w:val="28"/>
        </w:rPr>
        <w:t>县委教育工作领导小组召开4次专题会议部署“双减”工作，各项任务按期完成。“双减”政策实施后，我县10家营利性学科类培训机构转为非学科类培训机构5家、转为非营利性学科类培训机构3家，注销2家；原非学科类培训机构注销1家。12月1日，中国教师报推介了我县在“双减”背景下探索实施“三进校园”确保减负不减质量的经验做法。</w:t>
      </w:r>
    </w:p>
    <w:p>
      <w:pPr>
        <w:spacing w:line="580" w:lineRule="exact"/>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4、谋划教育发展2.0。</w:t>
      </w:r>
      <w:r>
        <w:rPr>
          <w:rFonts w:hint="eastAsia" w:asciiTheme="minorEastAsia" w:hAnsiTheme="minorEastAsia" w:eastAsiaTheme="minorEastAsia" w:cstheme="minorEastAsia"/>
          <w:spacing w:val="-2"/>
          <w:sz w:val="28"/>
          <w:szCs w:val="28"/>
        </w:rPr>
        <w:t>为打造湘黔边界教育高地，县委书记周重颜亲自指导并特邀省内专家参与谋划《新晃教育发展2.0行动计划》。主要目标：一是义务教育优质均衡发展；二是高中教育高质量发展；三是统筹兼顾职业教育内涵式发展。具体措施：一是实施生源保护培植工程；二是实施师资培养工程；三是实施队伍建设工程；四是实施管理保障工程；五是实施教育体系建设工程。</w:t>
      </w:r>
    </w:p>
    <w:p>
      <w:pPr>
        <w:spacing w:line="600" w:lineRule="exact"/>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5、师资培训发展科学有序。</w:t>
      </w:r>
      <w:r>
        <w:rPr>
          <w:rFonts w:hint="eastAsia" w:asciiTheme="minorEastAsia" w:hAnsiTheme="minorEastAsia" w:eastAsiaTheme="minorEastAsia" w:cstheme="minorEastAsia"/>
          <w:sz w:val="28"/>
          <w:szCs w:val="28"/>
        </w:rPr>
        <w:t>制定出台了《新晃县教育人事综合治理方案》</w:t>
      </w:r>
      <w:r>
        <w:rPr>
          <w:rFonts w:hint="eastAsia" w:asciiTheme="minorEastAsia" w:hAnsiTheme="minorEastAsia" w:eastAsiaTheme="minorEastAsia" w:cstheme="minorEastAsia"/>
          <w:color w:val="000000"/>
          <w:sz w:val="28"/>
          <w:szCs w:val="28"/>
        </w:rPr>
        <w:t>《新晃县公办学校教师“因素法”年度绩效考核实施意见》。</w:t>
      </w:r>
      <w:r>
        <w:rPr>
          <w:rFonts w:hint="eastAsia" w:asciiTheme="minorEastAsia" w:hAnsiTheme="minorEastAsia" w:eastAsiaTheme="minorEastAsia" w:cstheme="minorEastAsia"/>
          <w:sz w:val="28"/>
          <w:szCs w:val="28"/>
        </w:rPr>
        <w:t>2021年调整学校行政135人，异校交流教师238人。新进公办教师167人（其中定向师范毕业生68人、公开招考87人、人才引进5人、县外调入7人）。制定《青年教师三年达标考核实施方案》，组建了14个名师名校长工作室、7个学科工作室，形成了“引领示范——行动学习——展赛结合”的校本研训路径。举行义务教育阶段近五年内入职教师教学比武，推选10名教师参加怀化市中小学青年教师教学决赛，方家屯中学张城等5名老师获怀化市教学能手称号。成功申报资深乡村教师（享受副高级）37名，获评基层中小学系列高级教师30名，获评全省中小学系列高级教师21名。</w:t>
      </w:r>
    </w:p>
    <w:p>
      <w:pPr>
        <w:spacing w:line="580" w:lineRule="exact"/>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6、校园安全工作。</w:t>
      </w:r>
      <w:r>
        <w:rPr>
          <w:rFonts w:hint="eastAsia" w:asciiTheme="minorEastAsia" w:hAnsiTheme="minorEastAsia" w:eastAsiaTheme="minorEastAsia" w:cstheme="minorEastAsia"/>
          <w:sz w:val="28"/>
          <w:szCs w:val="28"/>
        </w:rPr>
        <w:t>增配校园保安82个，全县共计180人，安防建设4个100%（护学岗、保安配备、全封闭管理、一键式报警和校门口监控与公安联网）基本完成。投入103.6万元新改建学校食堂明厨亮灶监控系统及教育局机关监控中心建设，全县中小学、幼儿园“明厨亮灶”建设率提高至100%。</w:t>
      </w:r>
      <w:r>
        <w:rPr>
          <w:rFonts w:hint="eastAsia" w:asciiTheme="minorEastAsia" w:hAnsiTheme="minorEastAsia" w:eastAsiaTheme="minorEastAsia" w:cstheme="minorEastAsia"/>
          <w:color w:val="000000"/>
          <w:sz w:val="28"/>
          <w:szCs w:val="28"/>
        </w:rPr>
        <w:t>联合交警、交通和地方政府对校车安全巡查整治12次</w:t>
      </w:r>
      <w:r>
        <w:rPr>
          <w:rFonts w:hint="eastAsia" w:asciiTheme="minorEastAsia" w:hAnsiTheme="minorEastAsia" w:eastAsiaTheme="minorEastAsia" w:cstheme="minorEastAsia"/>
          <w:sz w:val="28"/>
          <w:szCs w:val="28"/>
        </w:rPr>
        <w:t>。全面落实新冠肺炎疫情常态化防控校园管理，积极组织教职员工和学生接种疫苗。落实防学生溺水“六个一”安全教育。</w:t>
      </w:r>
      <w:r>
        <w:rPr>
          <w:rFonts w:hint="eastAsia" w:asciiTheme="minorEastAsia" w:hAnsiTheme="minorEastAsia" w:eastAsiaTheme="minorEastAsia" w:cstheme="minorEastAsia"/>
          <w:color w:val="000000"/>
          <w:sz w:val="28"/>
          <w:szCs w:val="28"/>
        </w:rPr>
        <w:t>推动风险防控，处理教育学平险保险赔付案1905起，决案理赔金额计158.3万元。2021年县教育局被市委评为“综治安全工作”先进单位，被市教育局评为“安全生产评估考核”先进单位。</w:t>
      </w:r>
    </w:p>
    <w:p>
      <w:pPr>
        <w:spacing w:line="580" w:lineRule="exact"/>
        <w:ind w:firstLine="562"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bCs/>
          <w:sz w:val="28"/>
          <w:szCs w:val="28"/>
        </w:rPr>
        <w:t>7</w:t>
      </w:r>
      <w:r>
        <w:rPr>
          <w:rFonts w:hint="eastAsia" w:asciiTheme="minorEastAsia" w:hAnsiTheme="minorEastAsia" w:cstheme="minorEastAsia"/>
          <w:b/>
          <w:bCs/>
          <w:sz w:val="28"/>
          <w:szCs w:val="28"/>
          <w:lang w:eastAsia="zh-CN"/>
        </w:rPr>
        <w:t>、</w:t>
      </w:r>
      <w:r>
        <w:rPr>
          <w:rFonts w:hint="eastAsia" w:asciiTheme="minorEastAsia" w:hAnsiTheme="minorEastAsia" w:eastAsiaTheme="minorEastAsia" w:cstheme="minorEastAsia"/>
          <w:b/>
          <w:bCs/>
          <w:sz w:val="28"/>
          <w:szCs w:val="28"/>
        </w:rPr>
        <w:t>巩固教育脱贫成果与乡村振兴有效衔接。</w:t>
      </w:r>
      <w:r>
        <w:rPr>
          <w:rFonts w:hint="eastAsia" w:asciiTheme="minorEastAsia" w:hAnsiTheme="minorEastAsia" w:eastAsiaTheme="minorEastAsia" w:cstheme="minorEastAsia"/>
          <w:sz w:val="28"/>
          <w:szCs w:val="28"/>
        </w:rPr>
        <w:t>积极实施“三帮一”劝返复学机制，确保所有学生除身体原因外无辍学问题发生。</w:t>
      </w:r>
      <w:r>
        <w:rPr>
          <w:rFonts w:hint="eastAsia" w:asciiTheme="minorEastAsia" w:hAnsiTheme="minorEastAsia" w:eastAsiaTheme="minorEastAsia" w:cstheme="minorEastAsia"/>
          <w:color w:val="000000"/>
          <w:sz w:val="28"/>
          <w:szCs w:val="28"/>
        </w:rPr>
        <w:t>学前教育阶段资助幼儿1404人次70万元；义务教育阶段享受免费教科书、教辅资料56965人次357.75万元，享受贫困学生生活补助10488人次415.1万元；高中阶段享受免学费、免教科书费3394人次259.49万元，享受家庭经济困难国家助学金2809人次306.15万元；中职学生免学费3366人次403.92万元，享受国家助学金2719人次272.4万元。实施生源地信用助学贷款大学生792人709.22万元。发放应届大学生基层就业学费补偿40人14.75万元。</w:t>
      </w:r>
    </w:p>
    <w:p>
      <w:pPr>
        <w:pStyle w:val="2"/>
        <w:shd w:val="clear" w:color="auto" w:fill="FFFFFF"/>
        <w:spacing w:before="0" w:beforeAutospacing="0" w:after="0" w:afterAutospacing="0" w:line="520" w:lineRule="exact"/>
        <w:ind w:firstLine="562"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bCs/>
          <w:kern w:val="2"/>
          <w:sz w:val="28"/>
          <w:szCs w:val="28"/>
        </w:rPr>
        <w:t>五、存在的问题</w:t>
      </w:r>
    </w:p>
    <w:p>
      <w:pPr>
        <w:spacing w:line="520" w:lineRule="exact"/>
        <w:ind w:firstLine="64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一是工作机制有待进一步完善，由于平时工作中未及时开展绩效动态监控工作，绩效动态监控工作容易滞后。</w:t>
      </w:r>
    </w:p>
    <w:p>
      <w:pPr>
        <w:spacing w:line="520" w:lineRule="exact"/>
        <w:ind w:firstLine="64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二是单位在部门整体支出的资金安排和使用上仍有不可预见性，在实际工作中有资金延迟到位的情况。</w:t>
      </w:r>
    </w:p>
    <w:p>
      <w:pPr>
        <w:pStyle w:val="2"/>
        <w:shd w:val="clear" w:color="auto" w:fill="FFFFFF"/>
        <w:spacing w:before="0" w:beforeAutospacing="0" w:after="0" w:afterAutospacing="0" w:line="510" w:lineRule="atLeast"/>
        <w:ind w:firstLine="560" w:firstLineChars="200"/>
        <w:jc w:val="both"/>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三是预算绩效管理工作相对滞后。近年来实施财务精细化管理后，局机关预算编制由财务工作者统筹，财务工作者除应对单位日常财务管理等外，无更多精力承担预算项目绩效管理培训、预算编制审核和预算管理绩效跟踪管理。</w:t>
      </w:r>
    </w:p>
    <w:p>
      <w:pPr>
        <w:pStyle w:val="2"/>
        <w:shd w:val="clear" w:color="auto" w:fill="FFFFFF"/>
        <w:spacing w:before="0" w:beforeAutospacing="0" w:after="0" w:afterAutospacing="0" w:line="510" w:lineRule="atLeast"/>
        <w:ind w:firstLine="560" w:firstLineChars="200"/>
        <w:jc w:val="both"/>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四是部分项目执行与预算支出指标差距较大。部分项目在预算时未能充分预料和考虑到来年的政策变化，导致实际支出与预算相差较大。</w:t>
      </w:r>
    </w:p>
    <w:p>
      <w:pPr>
        <w:spacing w:line="520" w:lineRule="exact"/>
        <w:ind w:firstLine="640"/>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六、今后努力的方向</w:t>
      </w:r>
    </w:p>
    <w:p>
      <w:pPr>
        <w:spacing w:line="520" w:lineRule="exact"/>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kern w:val="0"/>
          <w:sz w:val="28"/>
          <w:szCs w:val="28"/>
        </w:rPr>
        <w:t>　</w:t>
      </w:r>
      <w:r>
        <w:rPr>
          <w:rFonts w:hint="eastAsia" w:asciiTheme="minorEastAsia" w:hAnsiTheme="minorEastAsia" w:eastAsiaTheme="minorEastAsia" w:cstheme="minorEastAsia"/>
          <w:b/>
          <w:kern w:val="0"/>
          <w:sz w:val="28"/>
          <w:szCs w:val="28"/>
        </w:rPr>
        <w:t>　1.科学合理编制预算，严格执行预算。</w:t>
      </w:r>
    </w:p>
    <w:p>
      <w:pPr>
        <w:spacing w:line="520" w:lineRule="exact"/>
        <w:ind w:firstLine="63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加强预算编制的前瞻性，按照新《预算法》及其实施条例的相关规定，按政策规定及本部门的发展规划，结合上一年度预算执行情况和本年度预算收支变化因素，科学、合理地编制本年预算草案，避免项目支出与基本支出划分不准或预算支出与实际执行出现较大偏差的情况，执行中确需调剂预算的，按规定程序报经批准。</w:t>
      </w:r>
    </w:p>
    <w:p>
      <w:pPr>
        <w:spacing w:line="520" w:lineRule="exact"/>
        <w:ind w:firstLine="63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2、加强对绩效目标动态监控的重视。</w:t>
      </w:r>
    </w:p>
    <w:p>
      <w:pPr>
        <w:spacing w:line="520" w:lineRule="exact"/>
        <w:ind w:firstLine="63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一是进一步加强对绩效目标动态监控的重视，定期对预算执行情况进行监督，使绩效目标监控与日常工作、财务工作挂钩，做到及时监控，及时控制，避免疏忽。二是加强各部门衔接，使预算绩效目标实施进度得到及时反馈，便于及时汇总监控。</w:t>
      </w:r>
    </w:p>
    <w:p>
      <w:pPr>
        <w:spacing w:line="520" w:lineRule="exact"/>
        <w:ind w:firstLine="562" w:firstLineChars="20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bCs/>
          <w:kern w:val="0"/>
          <w:sz w:val="28"/>
          <w:szCs w:val="28"/>
        </w:rPr>
        <w:t>3.</w:t>
      </w:r>
      <w:r>
        <w:rPr>
          <w:rFonts w:hint="eastAsia" w:asciiTheme="minorEastAsia" w:hAnsiTheme="minorEastAsia" w:eastAsiaTheme="minorEastAsia" w:cstheme="minorEastAsia"/>
          <w:b/>
          <w:kern w:val="0"/>
          <w:sz w:val="28"/>
          <w:szCs w:val="28"/>
        </w:rPr>
        <w:t>完善管理制度，进一步加强资产管理</w:t>
      </w:r>
    </w:p>
    <w:p>
      <w:pPr>
        <w:spacing w:line="520" w:lineRule="exac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　　进一步贯彻落实中央八项规定和湖南省委“九条规定”，建立本部门“三公经费”等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w:t>
      </w:r>
    </w:p>
    <w:p>
      <w:pPr>
        <w:spacing w:line="520" w:lineRule="exact"/>
        <w:ind w:firstLine="562" w:firstLineChars="20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bCs/>
          <w:kern w:val="0"/>
          <w:sz w:val="28"/>
          <w:szCs w:val="28"/>
        </w:rPr>
        <w:t>4</w:t>
      </w:r>
      <w:r>
        <w:rPr>
          <w:rFonts w:hint="eastAsia" w:asciiTheme="minorEastAsia" w:hAnsiTheme="minorEastAsia" w:eastAsiaTheme="minorEastAsia" w:cstheme="minorEastAsia"/>
          <w:kern w:val="0"/>
          <w:sz w:val="28"/>
          <w:szCs w:val="28"/>
        </w:rPr>
        <w:t>.</w:t>
      </w:r>
      <w:r>
        <w:rPr>
          <w:rFonts w:hint="eastAsia" w:asciiTheme="minorEastAsia" w:hAnsiTheme="minorEastAsia" w:eastAsiaTheme="minorEastAsia" w:cstheme="minorEastAsia"/>
          <w:b/>
          <w:kern w:val="0"/>
          <w:sz w:val="28"/>
          <w:szCs w:val="28"/>
        </w:rPr>
        <w:t>加强新会计制度和新预算法学习培训。</w:t>
      </w:r>
    </w:p>
    <w:p>
      <w:pPr>
        <w:spacing w:line="520" w:lineRule="exact"/>
        <w:ind w:firstLine="645"/>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加强新《预算法》、《政府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p>
      <w:pPr>
        <w:spacing w:line="520" w:lineRule="exact"/>
        <w:ind w:firstLine="645"/>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5. 重视评价结果应用</w:t>
      </w:r>
    </w:p>
    <w:p>
      <w:pPr>
        <w:spacing w:line="520" w:lineRule="exact"/>
        <w:ind w:firstLine="645"/>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sz w:val="28"/>
          <w:szCs w:val="28"/>
        </w:rPr>
        <w:t>根据评价结果，针对评价过程中发现的问题，结合评价报告提出的建议，制定切实可行的整改方案，为预算编制管理提供详实依据。</w:t>
      </w:r>
    </w:p>
    <w:p>
      <w:pPr>
        <w:pStyle w:val="2"/>
        <w:shd w:val="clear" w:color="auto" w:fill="FFFFFF"/>
        <w:spacing w:line="585" w:lineRule="atLeast"/>
        <w:ind w:firstLine="6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我局将不断深化预算管理改革，积极推进预算绩效管理工作，更好地发挥财政资金作用，努力提升教育服务水平。</w:t>
      </w:r>
    </w:p>
    <w:p>
      <w:pPr>
        <w:numPr>
          <w:ilvl w:val="0"/>
          <w:numId w:val="1"/>
        </w:numPr>
        <w:autoSpaceDE w:val="0"/>
        <w:autoSpaceDN w:val="0"/>
        <w:adjustRightInd w:val="0"/>
        <w:ind w:firstLine="643" w:firstLineChars="200"/>
        <w:jc w:val="left"/>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部门决算中项目绩效自评结果（</w:t>
      </w:r>
      <w:r>
        <w:rPr>
          <w:rFonts w:hint="eastAsia" w:cs="黑体" w:asciiTheme="minorEastAsia" w:hAnsiTheme="minorEastAsia"/>
          <w:b/>
          <w:color w:val="000000"/>
          <w:kern w:val="0"/>
          <w:sz w:val="32"/>
          <w:szCs w:val="32"/>
          <w:lang w:eastAsia="zh-CN"/>
        </w:rPr>
        <w:t>无</w:t>
      </w:r>
      <w:r>
        <w:rPr>
          <w:rFonts w:hint="eastAsia" w:cs="黑体" w:asciiTheme="minorEastAsia" w:hAnsiTheme="minorEastAsia"/>
          <w:b/>
          <w:color w:val="000000"/>
          <w:kern w:val="0"/>
          <w:sz w:val="32"/>
          <w:szCs w:val="32"/>
        </w:rPr>
        <w:t>）。</w:t>
      </w:r>
    </w:p>
    <w:p>
      <w:pPr>
        <w:numPr>
          <w:ilvl w:val="0"/>
          <w:numId w:val="0"/>
        </w:numPr>
        <w:autoSpaceDE w:val="0"/>
        <w:autoSpaceDN w:val="0"/>
        <w:adjustRightInd w:val="0"/>
        <w:ind w:firstLine="640" w:firstLineChars="200"/>
        <w:jc w:val="left"/>
        <w:rPr>
          <w:rFonts w:hint="default" w:cs="黑体" w:asciiTheme="minorEastAsia" w:hAnsiTheme="minorEastAsia" w:eastAsiaTheme="minorEastAsia"/>
          <w:b w:val="0"/>
          <w:bCs/>
          <w:color w:val="000000"/>
          <w:kern w:val="0"/>
          <w:sz w:val="32"/>
          <w:szCs w:val="32"/>
          <w:lang w:val="en-US" w:eastAsia="zh-CN"/>
        </w:rPr>
      </w:pPr>
      <w:r>
        <w:rPr>
          <w:rFonts w:hint="eastAsia" w:cs="黑体" w:asciiTheme="minorEastAsia" w:hAnsiTheme="minorEastAsia"/>
          <w:b w:val="0"/>
          <w:bCs/>
          <w:color w:val="000000"/>
          <w:kern w:val="0"/>
          <w:sz w:val="32"/>
          <w:szCs w:val="32"/>
          <w:lang w:eastAsia="zh-CN"/>
        </w:rPr>
        <w:t>本单位</w:t>
      </w:r>
      <w:r>
        <w:rPr>
          <w:rFonts w:hint="eastAsia" w:cs="黑体" w:asciiTheme="minorEastAsia" w:hAnsiTheme="minorEastAsia"/>
          <w:b w:val="0"/>
          <w:bCs/>
          <w:color w:val="000000"/>
          <w:kern w:val="0"/>
          <w:sz w:val="32"/>
          <w:szCs w:val="32"/>
          <w:lang w:val="en-US" w:eastAsia="zh-CN"/>
        </w:rPr>
        <w:t>2021年无项目支出。</w:t>
      </w:r>
    </w:p>
    <w:p>
      <w:pPr>
        <w:autoSpaceDE w:val="0"/>
        <w:autoSpaceDN w:val="0"/>
        <w:adjustRightInd w:val="0"/>
        <w:ind w:firstLine="643"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numPr>
          <w:ilvl w:val="0"/>
          <w:numId w:val="0"/>
        </w:numPr>
        <w:autoSpaceDE w:val="0"/>
        <w:autoSpaceDN w:val="0"/>
        <w:adjustRightInd w:val="0"/>
        <w:ind w:firstLine="640" w:firstLineChars="200"/>
        <w:jc w:val="left"/>
        <w:rPr>
          <w:rFonts w:hint="eastAsia" w:asciiTheme="minorEastAsia" w:hAnsiTheme="minorEastAsia" w:eastAsiaTheme="minorEastAsia" w:cstheme="minorEastAsia"/>
          <w:b w:val="0"/>
          <w:bCs/>
          <w:color w:val="000000"/>
          <w:sz w:val="28"/>
          <w:szCs w:val="28"/>
        </w:rPr>
      </w:pPr>
      <w:r>
        <w:rPr>
          <w:rFonts w:hint="eastAsia" w:cs="黑体" w:asciiTheme="minorEastAsia" w:hAnsiTheme="minorEastAsia"/>
          <w:b w:val="0"/>
          <w:bCs/>
          <w:color w:val="000000"/>
          <w:kern w:val="0"/>
          <w:sz w:val="32"/>
          <w:szCs w:val="32"/>
          <w:lang w:eastAsia="zh-CN"/>
        </w:rPr>
        <w:t>本单位</w:t>
      </w:r>
      <w:r>
        <w:rPr>
          <w:rFonts w:hint="eastAsia" w:cs="黑体" w:asciiTheme="minorEastAsia" w:hAnsiTheme="minorEastAsia"/>
          <w:b w:val="0"/>
          <w:bCs/>
          <w:color w:val="000000"/>
          <w:kern w:val="0"/>
          <w:sz w:val="32"/>
          <w:szCs w:val="32"/>
          <w:lang w:val="en-US" w:eastAsia="zh-CN"/>
        </w:rPr>
        <w:t>2021年无项目支出。</w:t>
      </w:r>
    </w:p>
    <w:p>
      <w:pPr>
        <w:autoSpaceDE w:val="0"/>
        <w:autoSpaceDN w:val="0"/>
        <w:adjustRightInd w:val="0"/>
        <w:ind w:firstLine="640" w:firstLineChars="200"/>
        <w:jc w:val="left"/>
        <w:rPr>
          <w:rFonts w:hint="eastAsia" w:cs="黑体" w:asciiTheme="minorEastAsia" w:hAnsiTheme="minorEastAsia" w:eastAsiaTheme="minorEastAsia"/>
          <w:color w:val="000000"/>
          <w:kern w:val="0"/>
          <w:sz w:val="32"/>
          <w:szCs w:val="32"/>
          <w:lang w:eastAsia="zh-CN"/>
        </w:rPr>
      </w:pPr>
    </w:p>
    <w:p>
      <w:pPr>
        <w:autoSpaceDE w:val="0"/>
        <w:autoSpaceDN w:val="0"/>
        <w:adjustRightInd w:val="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C6C64D"/>
    <w:multiLevelType w:val="singleLevel"/>
    <w:tmpl w:val="94C6C64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hZjhjMWVmZDQ4Zjg0YWIzMDVlYWQwOTc0YTM0NDAifQ=="/>
  </w:docVars>
  <w:rsids>
    <w:rsidRoot w:val="3E3F289E"/>
    <w:rsid w:val="0FF8369D"/>
    <w:rsid w:val="1E9569D8"/>
    <w:rsid w:val="2D7F1025"/>
    <w:rsid w:val="3E3F289E"/>
    <w:rsid w:val="65E85582"/>
    <w:rsid w:val="692719BD"/>
    <w:rsid w:val="6DA62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99"/>
    <w:pPr>
      <w:widowControl/>
      <w:spacing w:before="100" w:beforeAutospacing="1" w:after="100" w:afterAutospacing="1"/>
      <w:jc w:val="left"/>
    </w:pPr>
    <w:rPr>
      <w:rFonts w:ascii="宋体" w:hAnsi="宋体" w:cs="宋体"/>
      <w:kern w:val="0"/>
      <w:sz w:val="24"/>
    </w:rPr>
  </w:style>
  <w:style w:type="character" w:customStyle="1" w:styleId="5">
    <w:name w:val="NormalCharacter"/>
    <w:uiPriority w:val="99"/>
    <w:rPr>
      <w:rFonts w:ascii="Calibri" w:hAnsi="Calibri" w:eastAsia="宋体" w:cs="Calibri"/>
      <w:kern w:val="2"/>
      <w:sz w:val="24"/>
      <w:szCs w:val="24"/>
      <w:lang w:val="en-US" w:eastAsia="zh-CN"/>
    </w:rPr>
  </w:style>
  <w:style w:type="character" w:customStyle="1" w:styleId="6">
    <w:name w:val="UserStyle_1"/>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3469</Words>
  <Characters>3692</Characters>
  <Lines>0</Lines>
  <Paragraphs>0</Paragraphs>
  <TotalTime>2</TotalTime>
  <ScaleCrop>false</ScaleCrop>
  <LinksUpToDate>false</LinksUpToDate>
  <CharactersWithSpaces>3703</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2022-09-02T01:33:00Z</dcterms:created>
  <dc:creator>WPS_1528160668</dc:creator>
  <cp:lastModifiedBy>白菜花</cp:lastModifiedBy>
  <dcterms:modified xsi:type="dcterms:W3CDTF">2023-09-24T03:51:31Z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1545AC36F9ED43A7A30458B633E40ABB</vt:lpwstr>
  </property>
</Properties>
</file>