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800" w:lineRule="exact"/>
        <w:jc w:val="center"/>
        <w:rPr>
          <w:rStyle w:val="7"/>
          <w:rFonts w:cs="Times New Roman" w:asciiTheme="minorEastAsia" w:hAnsiTheme="minorEastAsia" w:eastAsiaTheme="minorEastAsia"/>
          <w:bCs w:val="0"/>
          <w:spacing w:val="-20"/>
          <w:sz w:val="44"/>
          <w:szCs w:val="44"/>
        </w:rPr>
      </w:pPr>
      <w:r>
        <w:rPr>
          <w:rStyle w:val="7"/>
          <w:rFonts w:hint="eastAsia" w:cs="Times New Roman" w:asciiTheme="minorEastAsia" w:hAnsiTheme="minorEastAsia" w:eastAsiaTheme="minorEastAsia"/>
          <w:bCs w:val="0"/>
          <w:spacing w:val="-20"/>
          <w:sz w:val="44"/>
          <w:szCs w:val="44"/>
          <w:lang w:eastAsia="zh-CN"/>
        </w:rPr>
        <w:t>2020</w:t>
      </w:r>
      <w:r>
        <w:rPr>
          <w:rStyle w:val="7"/>
          <w:rFonts w:cs="Times New Roman" w:asciiTheme="minorEastAsia" w:hAnsiTheme="minorEastAsia" w:eastAsiaTheme="minorEastAsia"/>
          <w:bCs w:val="0"/>
          <w:spacing w:val="-20"/>
          <w:sz w:val="44"/>
          <w:szCs w:val="44"/>
        </w:rPr>
        <w:t>年度</w:t>
      </w:r>
      <w:r>
        <w:rPr>
          <w:rStyle w:val="7"/>
          <w:rFonts w:hint="eastAsia" w:cs="Times New Roman" w:asciiTheme="minorEastAsia" w:hAnsiTheme="minorEastAsia" w:eastAsiaTheme="minorEastAsia"/>
          <w:bCs w:val="0"/>
          <w:spacing w:val="-20"/>
          <w:sz w:val="44"/>
          <w:szCs w:val="44"/>
        </w:rPr>
        <w:t>商务科技和工业信息化局</w:t>
      </w:r>
      <w:r>
        <w:rPr>
          <w:rStyle w:val="7"/>
          <w:rFonts w:cs="Times New Roman" w:asciiTheme="minorEastAsia" w:hAnsiTheme="minorEastAsia" w:eastAsiaTheme="minorEastAsia"/>
          <w:bCs w:val="0"/>
          <w:spacing w:val="-20"/>
          <w:sz w:val="44"/>
          <w:szCs w:val="44"/>
        </w:rPr>
        <w:t>整体支出</w:t>
      </w:r>
      <w:r>
        <w:rPr>
          <w:rStyle w:val="7"/>
          <w:rFonts w:hint="eastAsia" w:cs="Times New Roman" w:asciiTheme="minorEastAsia" w:hAnsiTheme="minorEastAsia" w:eastAsiaTheme="minorEastAsia"/>
          <w:b w:val="0"/>
          <w:bCs w:val="0"/>
          <w:spacing w:val="-20"/>
          <w:sz w:val="44"/>
          <w:szCs w:val="44"/>
        </w:rPr>
        <w:t xml:space="preserve">  </w:t>
      </w:r>
      <w:r>
        <w:rPr>
          <w:rStyle w:val="7"/>
          <w:rFonts w:cs="Times New Roman" w:asciiTheme="minorEastAsia" w:hAnsiTheme="minorEastAsia" w:eastAsiaTheme="minorEastAsia"/>
          <w:bCs w:val="0"/>
          <w:spacing w:val="-20"/>
          <w:sz w:val="44"/>
          <w:szCs w:val="44"/>
        </w:rPr>
        <w:t>绩效自评报告</w:t>
      </w:r>
    </w:p>
    <w:p>
      <w:pPr>
        <w:spacing w:before="240" w:line="560" w:lineRule="exact"/>
        <w:ind w:firstLine="420" w:firstLineChars="200"/>
        <w:jc w:val="left"/>
        <w:rPr>
          <w:kern w:val="0"/>
        </w:rPr>
      </w:pPr>
      <w:r>
        <w:t xml:space="preserve">   </w:t>
      </w:r>
      <w:r>
        <w:rPr>
          <w:rFonts w:eastAsia="仿宋_GB2312"/>
          <w:kern w:val="0"/>
          <w:sz w:val="32"/>
          <w:szCs w:val="32"/>
        </w:rPr>
        <w:t>一、部门（单位）基本概况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部门职责：（一）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主要负责贯彻执行党和国家的相关方针、政策及国家、省、市、县有关经济和信息化、科技、商务、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工业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等方面的法律法规和方针政策；</w:t>
      </w:r>
      <w:r>
        <w:rPr>
          <w:rFonts w:hint="eastAsia" w:ascii="仿宋_GB2312" w:eastAsia="仿宋_GB2312" w:hAnsiTheme="minorEastAsia"/>
          <w:sz w:val="32"/>
          <w:szCs w:val="32"/>
        </w:rPr>
        <w:t>（二）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拟订相关规范性文件、政策和措施及全县工业经济的日常运行调节及实施。指导和管理全县招商引资、投资促进工作，负责组织省、市、县政策和上级商务部门举办的内外贸易促销活动和招商引资、对外经济合作活动，管理全县进出口贸易工作，拟订和执行全县外贸进出口中长期规划和发展战略等工作。</w:t>
      </w:r>
    </w:p>
    <w:p>
      <w:pPr>
        <w:pStyle w:val="4"/>
        <w:shd w:val="clear" w:color="auto" w:fill="FFFFFF"/>
        <w:spacing w:before="0" w:beforeAutospacing="0" w:after="0" w:afterAutospacing="0"/>
        <w:ind w:firstLine="552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内设机构设置。新晃商务科技和工业信息化局内设机构包括：</w:t>
      </w:r>
      <w:r>
        <w:rPr>
          <w:rFonts w:hint="eastAsia" w:ascii="仿宋_GB2312" w:eastAsia="仿宋_GB2312" w:hAnsiTheme="minorEastAsia"/>
          <w:sz w:val="32"/>
          <w:szCs w:val="32"/>
        </w:rPr>
        <w:t>招商引资联络股、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工业企业</w:t>
      </w:r>
      <w:r>
        <w:rPr>
          <w:rFonts w:hint="eastAsia" w:ascii="仿宋_GB2312" w:eastAsia="仿宋_GB2312" w:hAnsiTheme="minorEastAsia"/>
          <w:sz w:val="32"/>
          <w:szCs w:val="32"/>
        </w:rPr>
        <w:t>管理股、商贸与市场股、对外贸易与经济合作股市等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个职能股室。截止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年12月31日止系统共有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162</w:t>
      </w:r>
      <w:r>
        <w:rPr>
          <w:rFonts w:hint="eastAsia" w:ascii="仿宋_GB2312" w:eastAsia="仿宋_GB2312" w:hAnsiTheme="minorEastAsia"/>
          <w:sz w:val="32"/>
          <w:szCs w:val="32"/>
        </w:rPr>
        <w:t>人，在职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 w:hAnsiTheme="minorEastAsia"/>
          <w:sz w:val="32"/>
          <w:szCs w:val="32"/>
        </w:rPr>
        <w:t>人，退休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hAnsiTheme="minorEastAsia"/>
          <w:sz w:val="32"/>
          <w:szCs w:val="32"/>
        </w:rPr>
        <w:t>人，离休2人，提前退休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人.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年我局决算收入1952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08万元，支出1482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.50</w:t>
      </w:r>
      <w:r>
        <w:rPr>
          <w:rFonts w:hint="eastAsia" w:ascii="仿宋_GB2312" w:eastAsia="仿宋_GB2312" w:hAnsiTheme="minorEastAsia"/>
          <w:sz w:val="32"/>
          <w:szCs w:val="32"/>
        </w:rPr>
        <w:t>万元，本年结余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469.58</w:t>
      </w:r>
      <w:r>
        <w:rPr>
          <w:rFonts w:hint="eastAsia" w:ascii="仿宋_GB2312" w:eastAsia="仿宋_GB2312" w:hAnsiTheme="minorEastAsia"/>
          <w:sz w:val="32"/>
          <w:szCs w:val="32"/>
        </w:rPr>
        <w:t>万元。</w:t>
      </w:r>
      <w:r>
        <w:rPr>
          <w:rFonts w:eastAsia="仿宋_GB2312"/>
          <w:kern w:val="0"/>
          <w:sz w:val="32"/>
          <w:szCs w:val="32"/>
        </w:rPr>
        <w:t>年末固定资产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154.96</w:t>
      </w:r>
      <w:r>
        <w:rPr>
          <w:rFonts w:hint="eastAsia" w:eastAsia="仿宋_GB2312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其中：房屋及构筑物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107.11</w:t>
      </w:r>
      <w:r>
        <w:rPr>
          <w:rFonts w:hint="eastAsia" w:ascii="仿宋_GB2312" w:eastAsia="仿宋_GB2312"/>
          <w:kern w:val="0"/>
          <w:sz w:val="32"/>
          <w:szCs w:val="32"/>
        </w:rPr>
        <w:t>万元、专用设备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0.76</w:t>
      </w:r>
      <w:r>
        <w:rPr>
          <w:rFonts w:hint="eastAsia" w:ascii="仿宋_GB2312" w:eastAsia="仿宋_GB2312"/>
          <w:kern w:val="0"/>
          <w:sz w:val="32"/>
          <w:szCs w:val="32"/>
        </w:rPr>
        <w:t>万元、通用设备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40.46</w:t>
      </w:r>
      <w:r>
        <w:rPr>
          <w:rFonts w:hint="eastAsia" w:ascii="仿宋_GB2312" w:eastAsia="仿宋_GB2312"/>
          <w:kern w:val="0"/>
          <w:sz w:val="32"/>
          <w:szCs w:val="32"/>
        </w:rPr>
        <w:t>万元、家具用具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6.63</w:t>
      </w:r>
      <w:r>
        <w:rPr>
          <w:rFonts w:hint="eastAsia" w:ascii="仿宋_GB2312" w:eastAsia="仿宋_GB2312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我局严格按照《会计法》、《行政单位会计制度》、《行政单位财务规则》等规定，结合实际情况，严格执行单位经费支出制度，规范财务核算，完整披露相关信息。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二、部门（单位）整体支出绩效状况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2020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年初财政批复部门预算1732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67万元，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1732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67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万元。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实际总收入</w:t>
      </w:r>
      <w:r>
        <w:rPr>
          <w:rFonts w:hint="eastAsia" w:ascii="仿宋_GB2312" w:eastAsia="仿宋_GB2312" w:hAnsiTheme="minorEastAsia"/>
          <w:sz w:val="32"/>
          <w:szCs w:val="32"/>
        </w:rPr>
        <w:t>1952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08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万元，全部为财政拨款收入。上年结转256.97万元。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2020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年度总支出</w:t>
      </w:r>
      <w:r>
        <w:rPr>
          <w:rFonts w:hint="eastAsia" w:ascii="仿宋_GB2312" w:eastAsia="仿宋_GB2312" w:hAnsiTheme="minorEastAsia"/>
          <w:sz w:val="32"/>
          <w:szCs w:val="32"/>
        </w:rPr>
        <w:t>1482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.50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万元，其中：基本支出1150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35（人员经费964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69万元，公用经费185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66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），项目支出332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万元。年末结转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726.56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万元。</w:t>
      </w:r>
    </w:p>
    <w:p>
      <w:pPr>
        <w:pStyle w:val="10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年我局整体绩效目标：推进招商引资、工业、科技等健康发展。一年来全局</w:t>
      </w:r>
      <w:r>
        <w:rPr>
          <w:rFonts w:hint="eastAsia" w:ascii="仿宋_GB2312" w:eastAsia="仿宋_GB2312" w:cs="仿宋_GB2312" w:hAnsiTheme="minorEastAsia"/>
          <w:sz w:val="32"/>
          <w:szCs w:val="32"/>
          <w:lang w:val="zh-TW" w:eastAsia="zh-TW"/>
        </w:rPr>
        <w:t>坚持以习近平新时代中国特色社会主义思想为指导，认真学习贯彻落实党的十九大、十九届二中、三中、四中全会和省、市、县相关会议精神，按照</w:t>
      </w:r>
      <w:r>
        <w:rPr>
          <w:rFonts w:hint="eastAsia" w:ascii="仿宋_GB2312" w:eastAsia="仿宋_GB2312" w:cs="仿宋_GB2312" w:hAnsiTheme="minorEastAsia"/>
          <w:sz w:val="32"/>
          <w:szCs w:val="32"/>
        </w:rPr>
        <w:t>“</w:t>
      </w:r>
      <w:r>
        <w:rPr>
          <w:rFonts w:hint="eastAsia" w:ascii="仿宋_GB2312" w:eastAsia="仿宋_GB2312" w:cs="仿宋_GB2312" w:hAnsiTheme="minorEastAsia"/>
          <w:sz w:val="32"/>
          <w:szCs w:val="32"/>
          <w:lang w:val="zh-TW" w:eastAsia="zh-TW"/>
        </w:rPr>
        <w:t>强工壮农、兴城活旅、生态和谐、协调发展</w:t>
      </w:r>
      <w:r>
        <w:rPr>
          <w:rFonts w:hint="eastAsia" w:ascii="仿宋_GB2312" w:eastAsia="仿宋_GB2312" w:cs="仿宋_GB2312" w:hAnsiTheme="minorEastAsia"/>
          <w:sz w:val="32"/>
          <w:szCs w:val="32"/>
        </w:rPr>
        <w:t>”</w:t>
      </w:r>
      <w:r>
        <w:rPr>
          <w:rFonts w:hint="eastAsia" w:ascii="仿宋_GB2312" w:eastAsia="仿宋_GB2312" w:cs="仿宋_GB2312" w:hAnsiTheme="minorEastAsia"/>
          <w:sz w:val="32"/>
          <w:szCs w:val="32"/>
          <w:lang w:val="zh-TW" w:eastAsia="zh-TW"/>
        </w:rPr>
        <w:t>总体要求，坚决打好三大攻坚战，统筹推进稳增长、促改革、调结构、惠民生、防风险各项工作，促进经济社会持续健康发展，为努力开创</w:t>
      </w:r>
      <w:r>
        <w:rPr>
          <w:rFonts w:hint="eastAsia" w:ascii="仿宋_GB2312" w:eastAsia="仿宋_GB2312" w:cs="仿宋_GB2312" w:hAnsiTheme="minorEastAsia"/>
          <w:sz w:val="32"/>
          <w:szCs w:val="32"/>
        </w:rPr>
        <w:t>“</w:t>
      </w:r>
      <w:r>
        <w:rPr>
          <w:rFonts w:hint="eastAsia" w:ascii="仿宋_GB2312" w:eastAsia="仿宋_GB2312" w:cs="仿宋_GB2312" w:hAnsiTheme="minorEastAsia"/>
          <w:sz w:val="32"/>
          <w:szCs w:val="32"/>
          <w:lang w:val="zh-TW" w:eastAsia="zh-TW"/>
        </w:rPr>
        <w:t>一个阵地、五个新晃</w:t>
      </w:r>
      <w:r>
        <w:rPr>
          <w:rFonts w:hint="eastAsia" w:ascii="仿宋_GB2312" w:eastAsia="仿宋_GB2312" w:cs="仿宋_GB2312" w:hAnsiTheme="minorEastAsia"/>
          <w:sz w:val="32"/>
          <w:szCs w:val="32"/>
        </w:rPr>
        <w:t>”</w:t>
      </w:r>
      <w:r>
        <w:rPr>
          <w:rFonts w:hint="eastAsia" w:ascii="仿宋_GB2312" w:eastAsia="仿宋_GB2312" w:cs="仿宋_GB2312" w:hAnsiTheme="minorEastAsia"/>
          <w:sz w:val="32"/>
          <w:szCs w:val="32"/>
          <w:lang w:val="zh-TW" w:eastAsia="zh-TW"/>
        </w:rPr>
        <w:t>建设新局面提供有力的保障</w:t>
      </w:r>
      <w:r>
        <w:rPr>
          <w:rFonts w:hint="eastAsia" w:ascii="仿宋_GB2312" w:eastAsia="仿宋_GB2312" w:cs="仿宋_GB2312" w:hAnsiTheme="minorEastAsia"/>
          <w:sz w:val="32"/>
          <w:szCs w:val="32"/>
          <w:lang w:val="zh-TW"/>
        </w:rPr>
        <w:t>。</w:t>
      </w: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较好的完成了本年绩效目标任务。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三、存在的问题及原因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预算编制前根据年度内单位可预见的工作任务，确定了单位的年度预算目标，细化了预算指标，但是在实际支付过程中，个别时候未严格按照预算指标执行。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四、提高财政资金绩效的措施与建议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1、加强学习，提高思想认识。组织单位财务人员认真学习《预算法》等相关法规、规章、制度，提高单位领导对全面预算管理的重视程度，增强财务人员的预算意识。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2、严格管理，控制“三公”经费和公用经费支出。认真贯彻落实中央八项规定和市委、县委规定，严格按照规定开支有关经费，确保单位“三公”经费只减不增。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、规范财务运行，加强预算支出管理。严格遵循“先有预算，后有支出”的原则，建立健全并严格执行各项资金使用管理制度，建立内部控制制度。严格落实会计核算、报销审批制度，加强对资金使用环节的监督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五、附件（佐证依据）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部门认为需要作为评价报告附件的有关文件、资料等，以进一步解释和证明报告所反映的相关内容。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部门（签章）</w:t>
      </w:r>
    </w:p>
    <w:p>
      <w:r>
        <w:rPr>
          <w:rFonts w:eastAsia="仿宋_GB2312"/>
          <w:kern w:val="0"/>
          <w:sz w:val="32"/>
          <w:szCs w:val="32"/>
        </w:rPr>
        <w:t xml:space="preserve">               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kern w:val="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FE"/>
    <w:rsid w:val="000947C2"/>
    <w:rsid w:val="000D645E"/>
    <w:rsid w:val="0021164D"/>
    <w:rsid w:val="0021325A"/>
    <w:rsid w:val="003264D9"/>
    <w:rsid w:val="0033776E"/>
    <w:rsid w:val="003E3D14"/>
    <w:rsid w:val="004262C1"/>
    <w:rsid w:val="005A4489"/>
    <w:rsid w:val="006D3BDB"/>
    <w:rsid w:val="00865853"/>
    <w:rsid w:val="00A50683"/>
    <w:rsid w:val="00AF2E85"/>
    <w:rsid w:val="00B23595"/>
    <w:rsid w:val="00B81FA5"/>
    <w:rsid w:val="00CA3D80"/>
    <w:rsid w:val="00D67DB9"/>
    <w:rsid w:val="00F12072"/>
    <w:rsid w:val="00F4649D"/>
    <w:rsid w:val="00F65BFE"/>
    <w:rsid w:val="00F73796"/>
    <w:rsid w:val="0EC63992"/>
    <w:rsid w:val="5AB851FB"/>
    <w:rsid w:val="6EF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1243</Characters>
  <Lines>10</Lines>
  <Paragraphs>2</Paragraphs>
  <TotalTime>15</TotalTime>
  <ScaleCrop>false</ScaleCrop>
  <LinksUpToDate>false</LinksUpToDate>
  <CharactersWithSpaces>1459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2020-09-15T07:32:00Z</dcterms:created>
  <dc:creator>Administrator</dc:creator>
  <cp:lastModifiedBy>夏虫不可语冰</cp:lastModifiedBy>
  <dcterms:modified xsi:type="dcterms:W3CDTF">2021-09-01T02:03:37Z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5607CDD67EFA4B0B8761B8655DAD1B0A</vt:lpwstr>
  </property>
</Properties>
</file>