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center" w:pos="5207"/>
          <w:tab w:val="left" w:pos="9855"/>
        </w:tabs>
        <w:spacing w:line="560" w:lineRule="exact"/>
        <w:jc w:val="center"/>
        <w:rPr>
          <w:rFonts w:hint="eastAsia" w:ascii="黑体" w:hAnsi="宋体" w:eastAsia="黑体" w:cs="宋体"/>
          <w:b/>
          <w:bCs/>
          <w:color w:val="000000"/>
          <w:kern w:val="0"/>
          <w:sz w:val="44"/>
          <w:szCs w:val="44"/>
          <w:shd w:val="clear" w:color="auto" w:fill="FFFFFF"/>
        </w:rPr>
      </w:pPr>
      <w:r>
        <w:rPr>
          <w:rFonts w:hint="eastAsia" w:ascii="黑体" w:hAnsi="宋体" w:eastAsia="黑体" w:cs="宋体"/>
          <w:b/>
          <w:bCs/>
          <w:color w:val="000000"/>
          <w:kern w:val="0"/>
          <w:sz w:val="44"/>
          <w:szCs w:val="44"/>
          <w:shd w:val="clear" w:color="auto" w:fill="FFFFFF"/>
        </w:rPr>
        <w:t>新晃县发改局</w:t>
      </w:r>
    </w:p>
    <w:p>
      <w:pPr>
        <w:widowControl/>
        <w:shd w:val="clear" w:color="auto" w:fill="FFFFFF"/>
        <w:spacing w:line="560" w:lineRule="exact"/>
        <w:jc w:val="center"/>
        <w:rPr>
          <w:rFonts w:hint="eastAsia" w:ascii="黑体" w:hAnsi="宋体" w:eastAsia="黑体" w:cs="宋体"/>
          <w:b/>
          <w:bCs/>
          <w:color w:val="000000"/>
          <w:kern w:val="0"/>
          <w:sz w:val="44"/>
          <w:szCs w:val="44"/>
          <w:shd w:val="clear" w:color="auto" w:fill="FFFFFF"/>
        </w:rPr>
      </w:pPr>
      <w:r>
        <w:rPr>
          <w:rFonts w:hint="eastAsia" w:ascii="黑体" w:hAnsi="宋体" w:eastAsia="黑体" w:cs="宋体"/>
          <w:b/>
          <w:bCs/>
          <w:color w:val="000000"/>
          <w:kern w:val="0"/>
          <w:sz w:val="44"/>
          <w:szCs w:val="44"/>
          <w:shd w:val="clear" w:color="auto" w:fill="FFFFFF"/>
          <w:lang w:eastAsia="zh-CN"/>
        </w:rPr>
        <w:t>202</w:t>
      </w:r>
      <w:r>
        <w:rPr>
          <w:rFonts w:hint="eastAsia" w:ascii="黑体" w:hAnsi="宋体" w:eastAsia="黑体" w:cs="宋体"/>
          <w:b/>
          <w:bCs/>
          <w:color w:val="000000"/>
          <w:kern w:val="0"/>
          <w:sz w:val="44"/>
          <w:szCs w:val="44"/>
          <w:shd w:val="clear" w:color="auto" w:fill="FFFFFF"/>
          <w:lang w:val="en-US" w:eastAsia="zh-CN"/>
        </w:rPr>
        <w:t>1</w:t>
      </w:r>
      <w:r>
        <w:rPr>
          <w:rFonts w:hint="eastAsia" w:ascii="黑体" w:hAnsi="宋体" w:eastAsia="黑体" w:cs="宋体"/>
          <w:b/>
          <w:bCs/>
          <w:color w:val="000000"/>
          <w:kern w:val="0"/>
          <w:sz w:val="44"/>
          <w:szCs w:val="44"/>
          <w:shd w:val="clear" w:color="auto" w:fill="FFFFFF"/>
        </w:rPr>
        <w:t>年度部门</w:t>
      </w:r>
      <w:r>
        <w:rPr>
          <w:rFonts w:hint="eastAsia" w:ascii="黑体" w:hAnsi="宋体" w:eastAsia="黑体" w:cs="宋体"/>
          <w:b/>
          <w:bCs/>
          <w:color w:val="000000"/>
          <w:kern w:val="0"/>
          <w:sz w:val="44"/>
          <w:szCs w:val="44"/>
          <w:shd w:val="clear" w:color="auto" w:fill="FFFFFF"/>
          <w:lang w:eastAsia="zh-CN"/>
        </w:rPr>
        <w:t>项目</w:t>
      </w:r>
      <w:r>
        <w:rPr>
          <w:rFonts w:hint="eastAsia" w:ascii="黑体" w:hAnsi="宋体" w:eastAsia="黑体" w:cs="宋体"/>
          <w:b/>
          <w:bCs/>
          <w:color w:val="000000"/>
          <w:kern w:val="0"/>
          <w:sz w:val="44"/>
          <w:szCs w:val="44"/>
          <w:shd w:val="clear" w:color="auto" w:fill="FFFFFF"/>
        </w:rPr>
        <w:t>支出绩效评价报告</w:t>
      </w:r>
    </w:p>
    <w:p>
      <w:pPr>
        <w:widowControl/>
        <w:shd w:val="clear" w:color="auto" w:fill="FFFFFF"/>
        <w:spacing w:line="560" w:lineRule="exact"/>
        <w:jc w:val="center"/>
        <w:rPr>
          <w:rFonts w:hint="eastAsia" w:ascii="黑体" w:hAnsi="宋体" w:eastAsia="黑体" w:cs="宋体"/>
          <w:b/>
          <w:bCs/>
          <w:color w:val="000000"/>
          <w:kern w:val="0"/>
          <w:sz w:val="44"/>
          <w:szCs w:val="44"/>
          <w:shd w:val="clear" w:color="auto" w:fill="FFFFFF"/>
          <w:lang w:eastAsia="zh-CN"/>
        </w:rPr>
      </w:pPr>
    </w:p>
    <w:p>
      <w:pPr>
        <w:spacing w:line="600" w:lineRule="exact"/>
        <w:ind w:firstLine="643" w:firstLineChars="200"/>
        <w:rPr>
          <w:rFonts w:hint="eastAsia" w:ascii="仿宋_GB2312" w:hAnsi="黑体" w:eastAsia="仿宋_GB2312" w:cs="宋体"/>
          <w:b/>
          <w:bCs/>
          <w:kern w:val="0"/>
          <w:sz w:val="32"/>
          <w:szCs w:val="32"/>
        </w:rPr>
      </w:pPr>
      <w:r>
        <w:rPr>
          <w:rFonts w:hint="eastAsia" w:ascii="仿宋_GB2312" w:hAnsi="黑体" w:eastAsia="仿宋_GB2312" w:cs="宋体"/>
          <w:b/>
          <w:bCs/>
          <w:kern w:val="0"/>
          <w:sz w:val="32"/>
          <w:szCs w:val="32"/>
        </w:rPr>
        <w:t>一、项目基本情况</w:t>
      </w:r>
    </w:p>
    <w:p>
      <w:pPr>
        <w:tabs>
          <w:tab w:val="left" w:pos="840"/>
        </w:tabs>
        <w:spacing w:line="600" w:lineRule="exact"/>
        <w:ind w:firstLine="640" w:firstLineChars="200"/>
        <w:rPr>
          <w:rFonts w:hint="eastAsia" w:ascii="仿宋_GB2312" w:eastAsia="仿宋_GB2312"/>
          <w:sz w:val="32"/>
          <w:szCs w:val="32"/>
        </w:rPr>
      </w:pPr>
      <w:r>
        <w:rPr>
          <w:rFonts w:hint="eastAsia" w:ascii="仿宋_GB2312" w:hAnsi="宋体" w:eastAsia="仿宋_GB2312" w:cs="宋体"/>
          <w:kern w:val="0"/>
          <w:sz w:val="32"/>
          <w:szCs w:val="32"/>
        </w:rPr>
        <w:t>为进一步规范和加强财政支出管理，强化支出责任，提高财政资金的使用效益，</w:t>
      </w:r>
      <w:r>
        <w:rPr>
          <w:rFonts w:hint="eastAsia" w:ascii="仿宋_GB2312" w:eastAsia="仿宋_GB2312"/>
          <w:sz w:val="32"/>
          <w:szCs w:val="32"/>
        </w:rPr>
        <w:t>根据《新晃侗族自治县财政局关于开展20</w:t>
      </w:r>
      <w:r>
        <w:rPr>
          <w:rFonts w:hint="eastAsia" w:ascii="仿宋_GB2312" w:eastAsia="仿宋_GB2312"/>
          <w:sz w:val="32"/>
          <w:szCs w:val="32"/>
          <w:lang w:val="en-US" w:eastAsia="zh-CN"/>
        </w:rPr>
        <w:t>21</w:t>
      </w:r>
      <w:r>
        <w:rPr>
          <w:rFonts w:hint="eastAsia" w:ascii="仿宋_GB2312" w:eastAsia="仿宋_GB2312"/>
          <w:sz w:val="32"/>
          <w:szCs w:val="32"/>
        </w:rPr>
        <w:t>年度财政专项资金以及部门整体支出绩效评价工作的通知》（晃财绩[</w:t>
      </w:r>
      <w:r>
        <w:rPr>
          <w:rFonts w:hint="eastAsia" w:ascii="仿宋_GB2312" w:eastAsia="仿宋_GB2312"/>
          <w:sz w:val="32"/>
          <w:szCs w:val="32"/>
          <w:lang w:val="en-US" w:eastAsia="zh-CN"/>
        </w:rPr>
        <w:t>2020</w:t>
      </w:r>
      <w:r>
        <w:rPr>
          <w:rFonts w:hint="eastAsia" w:ascii="仿宋_GB2312" w:eastAsia="仿宋_GB2312"/>
          <w:sz w:val="32"/>
          <w:szCs w:val="32"/>
        </w:rPr>
        <w:t>]</w:t>
      </w:r>
      <w:r>
        <w:rPr>
          <w:rFonts w:hint="eastAsia" w:ascii="仿宋_GB2312" w:eastAsia="仿宋_GB2312"/>
          <w:sz w:val="32"/>
          <w:szCs w:val="32"/>
          <w:lang w:val="en-US" w:eastAsia="zh-CN"/>
        </w:rPr>
        <w:t>19</w:t>
      </w:r>
      <w:r>
        <w:rPr>
          <w:rFonts w:hint="eastAsia" w:ascii="仿宋_GB2312" w:eastAsia="仿宋_GB2312"/>
          <w:sz w:val="32"/>
          <w:szCs w:val="32"/>
        </w:rPr>
        <w:t>号）的要求，对</w:t>
      </w: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成品粮管理经费</w:t>
      </w:r>
      <w:r>
        <w:rPr>
          <w:rFonts w:hint="eastAsia" w:ascii="仿宋_GB2312" w:hAnsi="宋体" w:eastAsia="仿宋_GB2312" w:cs="宋体"/>
          <w:kern w:val="0"/>
          <w:sz w:val="32"/>
          <w:szCs w:val="32"/>
        </w:rPr>
        <w:t>资金绩效</w:t>
      </w:r>
      <w:r>
        <w:rPr>
          <w:rFonts w:hint="eastAsia" w:ascii="仿宋_GB2312" w:eastAsia="仿宋_GB2312"/>
          <w:sz w:val="32"/>
          <w:szCs w:val="32"/>
        </w:rPr>
        <w:t>自评如下：</w:t>
      </w:r>
    </w:p>
    <w:p>
      <w:pPr>
        <w:spacing w:line="60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1、立项申报情况：根据《</w:t>
      </w:r>
      <w:r>
        <w:rPr>
          <w:rFonts w:hint="eastAsia" w:ascii="仿宋_GB2312" w:hAnsi="宋体" w:eastAsia="仿宋_GB2312" w:cs="宋体"/>
          <w:kern w:val="0"/>
          <w:sz w:val="32"/>
          <w:szCs w:val="32"/>
          <w:lang w:eastAsia="zh-CN"/>
        </w:rPr>
        <w:t>新晃侗族自治县人民代表大会常务委员会文件</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关于进一步明确县级粮食储备经费预算</w:t>
      </w:r>
      <w:r>
        <w:rPr>
          <w:rFonts w:hint="eastAsia" w:ascii="仿宋_GB2312" w:hAnsi="宋体" w:eastAsia="仿宋_GB2312" w:cs="宋体"/>
          <w:kern w:val="0"/>
          <w:sz w:val="32"/>
          <w:szCs w:val="32"/>
        </w:rPr>
        <w:t>〉的</w:t>
      </w:r>
      <w:r>
        <w:rPr>
          <w:rFonts w:hint="eastAsia" w:ascii="仿宋_GB2312" w:hAnsi="宋体" w:eastAsia="仿宋_GB2312" w:cs="宋体"/>
          <w:kern w:val="0"/>
          <w:sz w:val="32"/>
          <w:szCs w:val="32"/>
          <w:lang w:eastAsia="zh-CN"/>
        </w:rPr>
        <w:t>通知</w:t>
      </w:r>
      <w:r>
        <w:rPr>
          <w:rFonts w:hint="eastAsia" w:ascii="仿宋_GB2312" w:hAnsi="宋体" w:eastAsia="仿宋_GB2312" w:cs="宋体"/>
          <w:kern w:val="0"/>
          <w:sz w:val="32"/>
          <w:szCs w:val="32"/>
        </w:rPr>
        <w:t>》（晃</w:t>
      </w:r>
      <w:r>
        <w:rPr>
          <w:rFonts w:hint="eastAsia" w:ascii="仿宋_GB2312" w:hAnsi="宋体" w:eastAsia="仿宋_GB2312" w:cs="宋体"/>
          <w:kern w:val="0"/>
          <w:sz w:val="32"/>
          <w:szCs w:val="32"/>
          <w:lang w:eastAsia="zh-CN"/>
        </w:rPr>
        <w:t>人常发</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2010</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号）</w:t>
      </w:r>
      <w:r>
        <w:rPr>
          <w:rFonts w:hint="eastAsia" w:ascii="仿宋_GB2312" w:hAnsi="宋体" w:eastAsia="仿宋_GB2312" w:cs="宋体"/>
          <w:kern w:val="0"/>
          <w:sz w:val="32"/>
          <w:szCs w:val="32"/>
          <w:lang w:eastAsia="zh-CN"/>
        </w:rPr>
        <w:t>第十五届人大常委会第十次会议作出了《关于同意将县级粮食储备费用纳入县财政预算的决定》同意对县级</w:t>
      </w:r>
      <w:r>
        <w:rPr>
          <w:rFonts w:hint="eastAsia" w:ascii="仿宋_GB2312" w:hAnsi="宋体" w:eastAsia="仿宋_GB2312" w:cs="宋体"/>
          <w:kern w:val="0"/>
          <w:sz w:val="32"/>
          <w:szCs w:val="32"/>
          <w:lang w:val="en-US" w:eastAsia="zh-CN"/>
        </w:rPr>
        <w:t>应急成品粮300吨，应拨付成品粮管理费360000元，实际财政未拨付。</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2、项目涉及范围：主要用于</w:t>
      </w:r>
      <w:r>
        <w:rPr>
          <w:rFonts w:hint="eastAsia" w:ascii="仿宋_GB2312" w:hAnsi="宋体" w:eastAsia="仿宋_GB2312" w:cs="宋体"/>
          <w:kern w:val="0"/>
          <w:sz w:val="32"/>
          <w:szCs w:val="32"/>
          <w:lang w:eastAsia="zh-CN"/>
        </w:rPr>
        <w:t>县级成品粮轮换价差、日常管理、人员工资、维护等经费</w:t>
      </w:r>
      <w:r>
        <w:rPr>
          <w:rFonts w:hint="eastAsia" w:ascii="仿宋_GB2312" w:hAnsi="宋体" w:eastAsia="仿宋_GB2312" w:cs="宋体"/>
          <w:kern w:val="0"/>
          <w:sz w:val="32"/>
          <w:szCs w:val="32"/>
        </w:rPr>
        <w:t>。</w:t>
      </w:r>
    </w:p>
    <w:p>
      <w:pPr>
        <w:ind w:firstLine="640" w:firstLineChars="200"/>
        <w:rPr>
          <w:rFonts w:hint="default" w:ascii="仿宋_GB2312" w:hAnsi="宋体" w:eastAsia="仿宋_GB2312"/>
          <w:sz w:val="32"/>
          <w:szCs w:val="32"/>
          <w:lang w:val="en-US"/>
        </w:rPr>
      </w:pPr>
      <w:r>
        <w:rPr>
          <w:rFonts w:hint="eastAsia" w:ascii="仿宋_GB2312" w:hAnsi="宋体" w:eastAsia="仿宋_GB2312" w:cs="宋体"/>
          <w:kern w:val="0"/>
          <w:sz w:val="32"/>
          <w:szCs w:val="32"/>
        </w:rPr>
        <w:t>3、</w:t>
      </w:r>
      <w:r>
        <w:rPr>
          <w:rFonts w:hint="eastAsia" w:ascii="仿宋_GB2312" w:eastAsia="仿宋_GB2312"/>
          <w:sz w:val="32"/>
          <w:szCs w:val="32"/>
        </w:rPr>
        <w:t>项目绩效目标</w:t>
      </w:r>
      <w:r>
        <w:rPr>
          <w:rFonts w:hint="eastAsia" w:ascii="仿宋_GB2312" w:hAnsi="宋体" w:eastAsia="仿宋_GB2312" w:cs="宋体"/>
          <w:kern w:val="0"/>
          <w:sz w:val="32"/>
          <w:szCs w:val="32"/>
        </w:rPr>
        <w:t>：</w:t>
      </w:r>
      <w:r>
        <w:rPr>
          <w:rFonts w:hint="eastAsia" w:ascii="仿宋_GB2312" w:eastAsia="仿宋_GB2312"/>
          <w:color w:val="000000"/>
          <w:sz w:val="32"/>
          <w:szCs w:val="32"/>
          <w:lang w:val="en-US" w:eastAsia="zh-CN"/>
        </w:rPr>
        <w:t>2021年</w:t>
      </w:r>
      <w:r>
        <w:rPr>
          <w:rFonts w:hint="eastAsia" w:ascii="仿宋_GB2312" w:hAnsi="宋体" w:eastAsia="仿宋_GB2312"/>
          <w:sz w:val="32"/>
          <w:szCs w:val="32"/>
        </w:rPr>
        <w:t>县级</w:t>
      </w:r>
      <w:r>
        <w:rPr>
          <w:rFonts w:hint="eastAsia" w:ascii="仿宋_GB2312" w:hAnsi="宋体" w:eastAsia="仿宋_GB2312"/>
          <w:sz w:val="32"/>
          <w:szCs w:val="32"/>
          <w:lang w:eastAsia="zh-CN"/>
        </w:rPr>
        <w:t>应急成品粮</w:t>
      </w:r>
      <w:r>
        <w:rPr>
          <w:rFonts w:hint="eastAsia" w:ascii="仿宋_GB2312" w:hAnsi="宋体" w:eastAsia="仿宋_GB2312"/>
          <w:sz w:val="32"/>
          <w:szCs w:val="32"/>
          <w:lang w:val="en-US" w:eastAsia="zh-CN"/>
        </w:rPr>
        <w:t>300吨。</w:t>
      </w:r>
    </w:p>
    <w:p>
      <w:pPr>
        <w:spacing w:line="60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二、项目实施情况</w:t>
      </w:r>
    </w:p>
    <w:p>
      <w:pPr>
        <w:spacing w:line="580" w:lineRule="exact"/>
        <w:ind w:firstLine="640" w:firstLineChars="200"/>
        <w:outlineLvl w:val="0"/>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shd w:val="clear" w:color="auto" w:fill="FFFFFF"/>
        </w:rPr>
        <w:t>从粮食储管来看，</w:t>
      </w:r>
      <w:r>
        <w:rPr>
          <w:rFonts w:hint="eastAsia" w:ascii="仿宋_GB2312" w:eastAsia="仿宋_GB2312"/>
          <w:color w:val="000000"/>
          <w:sz w:val="32"/>
          <w:szCs w:val="32"/>
        </w:rPr>
        <w:t>严格按照国家粮食储存管理办法进行管理，做到了专人、专仓、专帐管理</w:t>
      </w:r>
      <w:r>
        <w:rPr>
          <w:rFonts w:hint="eastAsia" w:ascii="仿宋_GB2312" w:eastAsia="仿宋_GB2312"/>
          <w:color w:val="000000"/>
          <w:sz w:val="32"/>
          <w:szCs w:val="32"/>
          <w:lang w:eastAsia="zh-CN"/>
        </w:rPr>
        <w:t>，在保证日常开支的情况下对储备库的入出库系统、粮温检测设备系统进行了维护。</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月份和10月份对县级</w:t>
      </w:r>
      <w:r>
        <w:rPr>
          <w:rFonts w:hint="eastAsia" w:ascii="仿宋_GB2312" w:eastAsia="仿宋_GB2312"/>
          <w:color w:val="000000"/>
          <w:sz w:val="32"/>
          <w:szCs w:val="32"/>
          <w:lang w:eastAsia="zh-CN"/>
        </w:rPr>
        <w:t>成品粮</w:t>
      </w:r>
      <w:r>
        <w:rPr>
          <w:rFonts w:hint="eastAsia" w:ascii="仿宋_GB2312" w:eastAsia="仿宋_GB2312"/>
          <w:color w:val="000000"/>
          <w:sz w:val="32"/>
          <w:szCs w:val="32"/>
        </w:rPr>
        <w:t>食进行了药物熏蒸。按时、按质、按量完成“三警”粮油任务，市</w:t>
      </w:r>
      <w:r>
        <w:rPr>
          <w:rFonts w:hint="eastAsia" w:ascii="仿宋_GB2312" w:eastAsia="仿宋_GB2312"/>
          <w:color w:val="000000"/>
          <w:sz w:val="32"/>
          <w:szCs w:val="32"/>
          <w:lang w:eastAsia="zh-CN"/>
        </w:rPr>
        <w:t>粮食物资储备局</w:t>
      </w:r>
      <w:r>
        <w:rPr>
          <w:rFonts w:hint="eastAsia" w:ascii="仿宋_GB2312" w:eastAsia="仿宋_GB2312"/>
          <w:color w:val="000000"/>
          <w:sz w:val="32"/>
          <w:szCs w:val="32"/>
        </w:rPr>
        <w:t>检查组</w:t>
      </w:r>
      <w:r>
        <w:rPr>
          <w:rFonts w:hint="eastAsia" w:ascii="仿宋_GB2312" w:eastAsia="仿宋_GB2312"/>
          <w:color w:val="000000"/>
          <w:sz w:val="32"/>
          <w:szCs w:val="32"/>
          <w:lang w:eastAsia="zh-CN"/>
        </w:rPr>
        <w:t>多次</w:t>
      </w:r>
      <w:r>
        <w:rPr>
          <w:rFonts w:hint="eastAsia" w:ascii="仿宋_GB2312" w:eastAsia="仿宋_GB2312"/>
          <w:color w:val="000000"/>
          <w:sz w:val="32"/>
          <w:szCs w:val="32"/>
        </w:rPr>
        <w:t>对我县军粮质量进行了检查。开展了全县社会粮食供需平衡调查工作。2月至3月，组织相关</w:t>
      </w:r>
      <w:r>
        <w:rPr>
          <w:rFonts w:hint="eastAsia" w:ascii="仿宋_GB2312" w:eastAsia="仿宋_GB2312"/>
          <w:sz w:val="32"/>
          <w:szCs w:val="32"/>
        </w:rPr>
        <w:t>人员对我县城镇、扶罗镇克寨村、林冲镇大堡村确定的城乡居民固定调查户的粮油收、支、存情况及餐饮企业、单位食堂，以及未纳入日常报表填报范围的非国有企业采取抽样调查方式采集样本数据。并将调查结果报送市局，为领导决策提供依据。5月中旬入户开展</w:t>
      </w:r>
      <w:r>
        <w:rPr>
          <w:rFonts w:hint="eastAsia" w:ascii="仿宋_GB2312" w:eastAsia="仿宋_GB2312"/>
          <w:sz w:val="32"/>
          <w:szCs w:val="32"/>
          <w:lang w:val="en-US" w:eastAsia="zh-CN"/>
        </w:rPr>
        <w:t>2021</w:t>
      </w:r>
      <w:r>
        <w:rPr>
          <w:rFonts w:hint="eastAsia" w:ascii="仿宋_GB2312" w:eastAsia="仿宋_GB2312"/>
          <w:sz w:val="32"/>
          <w:szCs w:val="32"/>
        </w:rPr>
        <w:t>年农户半年存粮调查调查，及时完成网上直报工作。</w:t>
      </w:r>
      <w:r>
        <w:rPr>
          <w:rFonts w:hint="eastAsia" w:ascii="仿宋_GB2312" w:eastAsia="仿宋_GB2312"/>
          <w:sz w:val="32"/>
          <w:szCs w:val="32"/>
          <w:lang w:val="en-US" w:eastAsia="zh-CN"/>
        </w:rPr>
        <w:t>6月初</w:t>
      </w:r>
      <w:r>
        <w:rPr>
          <w:rFonts w:hint="eastAsia" w:ascii="仿宋_GB2312" w:eastAsia="仿宋_GB2312"/>
          <w:sz w:val="32"/>
          <w:szCs w:val="32"/>
        </w:rPr>
        <w:t>，在</w:t>
      </w:r>
      <w:r>
        <w:rPr>
          <w:rFonts w:hint="eastAsia" w:ascii="仿宋_GB2312" w:eastAsia="仿宋_GB2312"/>
          <w:sz w:val="32"/>
          <w:szCs w:val="32"/>
          <w:lang w:eastAsia="zh-CN"/>
        </w:rPr>
        <w:t>中山广场佳惠超市</w:t>
      </w:r>
      <w:r>
        <w:rPr>
          <w:rFonts w:hint="eastAsia" w:ascii="仿宋_GB2312" w:eastAsia="仿宋_GB2312"/>
          <w:sz w:val="32"/>
          <w:szCs w:val="32"/>
        </w:rPr>
        <w:t>组织开展</w:t>
      </w:r>
      <w:r>
        <w:rPr>
          <w:rFonts w:hint="eastAsia" w:ascii="仿宋_GB2312" w:eastAsia="仿宋_GB2312"/>
          <w:sz w:val="32"/>
          <w:szCs w:val="32"/>
          <w:lang w:eastAsia="zh-CN"/>
        </w:rPr>
        <w:t>科技活动周、粮食流通管理条例、爱粮节粮食品安全</w:t>
      </w:r>
      <w:r>
        <w:rPr>
          <w:rFonts w:hint="eastAsia" w:ascii="仿宋_GB2312" w:eastAsia="仿宋_GB2312"/>
          <w:sz w:val="32"/>
          <w:szCs w:val="32"/>
        </w:rPr>
        <w:t>活动，活动共发放粮油营养健康知识等粮油科普资料</w:t>
      </w:r>
      <w:r>
        <w:rPr>
          <w:rFonts w:hint="eastAsia" w:ascii="仿宋_GB2312" w:eastAsia="仿宋_GB2312"/>
          <w:sz w:val="32"/>
          <w:szCs w:val="32"/>
          <w:lang w:val="en-US" w:eastAsia="zh-CN"/>
        </w:rPr>
        <w:t>200</w:t>
      </w:r>
      <w:r>
        <w:rPr>
          <w:rFonts w:hint="eastAsia" w:ascii="仿宋_GB2312" w:eastAsia="仿宋_GB2312"/>
          <w:sz w:val="32"/>
          <w:szCs w:val="32"/>
        </w:rPr>
        <w:t>余份，宣传横幅1副，现场咨询</w:t>
      </w:r>
      <w:r>
        <w:rPr>
          <w:rFonts w:hint="eastAsia" w:ascii="仿宋_GB2312" w:eastAsia="仿宋_GB2312"/>
          <w:sz w:val="32"/>
          <w:szCs w:val="32"/>
          <w:lang w:val="en-US" w:eastAsia="zh-CN"/>
        </w:rPr>
        <w:t>80</w:t>
      </w:r>
      <w:r>
        <w:rPr>
          <w:rFonts w:hint="eastAsia" w:ascii="仿宋_GB2312" w:eastAsia="仿宋_GB2312"/>
          <w:sz w:val="32"/>
          <w:szCs w:val="32"/>
        </w:rPr>
        <w:t>人次，起到了良好的社会效果，深受广大群众好评。稳步推进智能粮库建设，积极优化项目建设环境</w:t>
      </w:r>
      <w:r>
        <w:rPr>
          <w:rFonts w:hint="eastAsia" w:ascii="仿宋_GB2312" w:eastAsia="仿宋_GB2312"/>
          <w:sz w:val="32"/>
          <w:szCs w:val="32"/>
          <w:lang w:eastAsia="zh-CN"/>
        </w:rPr>
        <w:t>，真正做好安全、绿色储粮。</w:t>
      </w:r>
      <w:r>
        <w:rPr>
          <w:rFonts w:hint="eastAsia" w:ascii="仿宋_GB2312" w:hAnsi="宋体" w:eastAsia="仿宋_GB2312" w:cs="宋体"/>
          <w:kern w:val="0"/>
          <w:sz w:val="32"/>
          <w:szCs w:val="32"/>
        </w:rPr>
        <w:t xml:space="preserve">　　　　　　　　　　　　　　　　　　　 </w:t>
      </w:r>
    </w:p>
    <w:p>
      <w:pPr>
        <w:spacing w:line="60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eastAsia="zh-CN"/>
        </w:rPr>
        <w:t>三</w:t>
      </w:r>
      <w:r>
        <w:rPr>
          <w:rFonts w:hint="eastAsia" w:ascii="仿宋_GB2312" w:hAnsi="宋体" w:eastAsia="仿宋_GB2312" w:cs="宋体"/>
          <w:b/>
          <w:bCs/>
          <w:kern w:val="0"/>
          <w:sz w:val="32"/>
          <w:szCs w:val="32"/>
        </w:rPr>
        <w:t>、项目存在的问题</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我县成品粮代储企业与县发改局属于两个班子一套人马，政企不分，既是行业裁判员，又是运动员，现全市的现状都是政企分开，市局也要求监管和实操人员职能分开才能让新晃的代储企业管理及实力更上一层楼。</w:t>
      </w:r>
    </w:p>
    <w:p>
      <w:pPr>
        <w:spacing w:line="60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五、下一步改进工作的意见和建议　　　　　　　 </w:t>
      </w:r>
    </w:p>
    <w:p>
      <w:pPr>
        <w:spacing w:line="60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希望成品粮管理经费能年初拨付，资金贯穿更好让成品粮管理工作不脱节，严格做到安全绿色储粮。</w:t>
      </w:r>
      <w:bookmarkStart w:id="0" w:name="_GoBack"/>
      <w:bookmarkEnd w:id="0"/>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简化</w:t>
      </w:r>
      <w:r>
        <w:rPr>
          <w:rFonts w:hint="eastAsia" w:ascii="仿宋_GB2312" w:hAnsi="宋体" w:eastAsia="仿宋_GB2312" w:cs="宋体"/>
          <w:kern w:val="0"/>
          <w:sz w:val="32"/>
          <w:szCs w:val="32"/>
          <w:lang w:eastAsia="zh-CN"/>
        </w:rPr>
        <w:t>配套资金</w:t>
      </w:r>
      <w:r>
        <w:rPr>
          <w:rFonts w:hint="eastAsia" w:ascii="仿宋_GB2312" w:hAnsi="宋体" w:eastAsia="仿宋_GB2312" w:cs="宋体"/>
          <w:kern w:val="0"/>
          <w:sz w:val="32"/>
          <w:szCs w:val="32"/>
        </w:rPr>
        <w:t>审批程序、简化减少审批材料、节约“隐性”审批时间、健全项目服务责任制。</w:t>
      </w:r>
    </w:p>
    <w:p>
      <w:pPr>
        <w:widowControl/>
        <w:shd w:val="clear" w:color="auto" w:fill="FFFFFF"/>
        <w:spacing w:line="560" w:lineRule="exact"/>
        <w:rPr>
          <w:rFonts w:hint="eastAsia" w:ascii="仿宋_GB2312" w:hAnsi="仿宋_GB2312" w:eastAsia="仿宋_GB2312" w:cs="仿宋_GB2312"/>
          <w:color w:val="000000"/>
          <w:kern w:val="0"/>
          <w:sz w:val="32"/>
          <w:szCs w:val="32"/>
        </w:rPr>
      </w:pPr>
    </w:p>
    <w:p>
      <w:pPr>
        <w:widowControl/>
        <w:shd w:val="clear" w:color="auto" w:fill="FFFFFF"/>
        <w:spacing w:line="560" w:lineRule="exact"/>
        <w:ind w:firstLine="6720" w:firstLineChars="2100"/>
        <w:rPr>
          <w:rFonts w:hint="eastAsia" w:ascii="仿宋_GB2312" w:hAnsi="仿宋_GB2312" w:eastAsia="仿宋_GB2312" w:cs="仿宋_GB2312"/>
          <w:color w:val="000000"/>
          <w:kern w:val="0"/>
          <w:sz w:val="32"/>
          <w:szCs w:val="32"/>
        </w:rPr>
      </w:pPr>
    </w:p>
    <w:p>
      <w:pPr>
        <w:widowControl/>
        <w:shd w:val="clear" w:color="auto" w:fill="FFFFFF"/>
        <w:spacing w:line="560" w:lineRule="exact"/>
        <w:ind w:firstLine="6720" w:firstLineChars="2100"/>
        <w:rPr>
          <w:rFonts w:hint="eastAsia" w:ascii="仿宋_GB2312" w:hAnsi="仿宋_GB2312" w:eastAsia="仿宋_GB2312" w:cs="仿宋_GB2312"/>
          <w:color w:val="000000"/>
          <w:kern w:val="0"/>
          <w:sz w:val="32"/>
          <w:szCs w:val="32"/>
        </w:rPr>
      </w:pPr>
    </w:p>
    <w:p>
      <w:pPr>
        <w:jc w:val="right"/>
      </w:pPr>
      <w:r>
        <w:rPr>
          <w:rFonts w:hint="eastAsia" w:ascii="仿宋_GB2312" w:hAnsi="仿宋_GB2312" w:eastAsia="仿宋_GB2312" w:cs="仿宋_GB2312"/>
          <w:color w:val="000000"/>
          <w:kern w:val="0"/>
          <w:sz w:val="32"/>
          <w:szCs w:val="32"/>
          <w:lang w:val="en-US" w:eastAsia="zh-CN"/>
        </w:rPr>
        <w:t>2022年5月15日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MTYzMDBiOWIzNTEyNTNiYTAwNjEwZTBkNDU5YTAifQ=="/>
  </w:docVars>
  <w:rsids>
    <w:rsidRoot w:val="54413EF3"/>
    <w:rsid w:val="54413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2022-05-24T06:22:00Z</dcterms:created>
  <dc:creator>lenovo</dc:creator>
  <cp:lastModifiedBy>lenovo</cp:lastModifiedBy>
  <dcterms:modified xsi:type="dcterms:W3CDTF">2022-05-24T06:28:50Z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D61B7AC93CC84430994F37822D4FF6F9</vt:lpwstr>
  </property>
</Properties>
</file>