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1140" w:lineRule="exact"/>
        <w:jc w:val="center"/>
        <w:rPr>
          <w:rFonts w:hint="eastAsia" w:ascii="方正小标宋简体" w:hAnsi="方正小标宋简体" w:eastAsia="方正小标宋简体" w:cs="方正小标宋简体"/>
          <w:color w:val="FF0000"/>
          <w:spacing w:val="6"/>
          <w:w w:val="70"/>
          <w:sz w:val="90"/>
          <w:szCs w:val="76"/>
        </w:rPr>
      </w:pPr>
      <w:bookmarkStart w:id="0" w:name="_GoBack"/>
      <w:bookmarkEnd w:id="0"/>
      <w:r>
        <w:rPr>
          <w:rFonts w:hint="eastAsia" w:ascii="方正小标宋简体" w:hAnsi="方正小标宋简体" w:eastAsia="方正小标宋简体" w:cs="方正小标宋简体"/>
          <w:color w:val="FF0000"/>
          <w:spacing w:val="6"/>
          <w:w w:val="70"/>
          <w:sz w:val="90"/>
          <w:szCs w:val="76"/>
        </w:rPr>
        <w:t>新晃侗族自治县发展和改革局</w:t>
      </w:r>
    </w:p>
    <w:p>
      <w:pPr>
        <w:adjustRightInd w:val="0"/>
        <w:snapToGrid w:val="0"/>
        <w:spacing w:line="640" w:lineRule="exact"/>
        <w:jc w:val="center"/>
        <w:rPr>
          <w:rFonts w:hint="eastAsia" w:ascii="方正小标宋简体" w:hAnsi="方正小标宋简体" w:eastAsia="方正小标宋简体" w:cs="方正小标宋简体"/>
          <w:color w:val="FF0000"/>
          <w:sz w:val="72"/>
          <w:szCs w:val="72"/>
        </w:rPr>
      </w:pPr>
    </w:p>
    <w:p>
      <w:pPr>
        <w:adjustRightInd w:val="0"/>
        <w:snapToGrid w:val="0"/>
        <w:spacing w:line="1016" w:lineRule="exact"/>
        <w:jc w:val="center"/>
        <w:rPr>
          <w:rFonts w:hint="eastAsia" w:ascii="方正小标宋简体" w:hAnsi="方正小标宋简体" w:eastAsia="方正小标宋简体" w:cs="方正小标宋简体"/>
          <w:color w:val="FF0000"/>
          <w:sz w:val="90"/>
          <w:szCs w:val="86"/>
        </w:rPr>
      </w:pPr>
      <w:r>
        <w:rPr>
          <w:rFonts w:hint="eastAsia" w:ascii="方正小标宋简体" w:hAnsi="方正小标宋简体" w:eastAsia="方正小标宋简体" w:cs="方正小标宋简体"/>
          <w:color w:val="FF0000"/>
          <w:sz w:val="90"/>
          <w:szCs w:val="86"/>
        </w:rPr>
        <w:t>公    告</w:t>
      </w: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line="40" w:lineRule="exact"/>
        <w:jc w:val="center"/>
        <w:rPr>
          <w:rFonts w:eastAsia="仿宋_GB2312"/>
          <w:b/>
          <w:bCs/>
          <w:sz w:val="32"/>
          <w:szCs w:val="32"/>
        </w:rPr>
      </w:pPr>
    </w:p>
    <w:p>
      <w:pPr>
        <w:adjustRightInd w:val="0"/>
        <w:snapToGrid w:val="0"/>
        <w:spacing w:beforeLines="80" w:line="596" w:lineRule="exact"/>
        <w:jc w:val="center"/>
        <w:rPr>
          <w:rFonts w:eastAsia="仿宋_GB2312"/>
          <w:b/>
          <w:bCs/>
          <w:sz w:val="34"/>
          <w:szCs w:val="32"/>
        </w:rPr>
      </w:pPr>
      <w:r>
        <w:rPr>
          <w:rFonts w:eastAsia="仿宋_GB2312"/>
          <w:b/>
          <w:bCs/>
          <w:sz w:val="34"/>
          <w:szCs w:val="32"/>
        </w:rPr>
        <w:t>202</w:t>
      </w:r>
      <w:r>
        <w:rPr>
          <w:rFonts w:hint="eastAsia" w:eastAsia="仿宋_GB2312"/>
          <w:b/>
          <w:bCs/>
          <w:sz w:val="34"/>
          <w:szCs w:val="32"/>
          <w:lang w:val="en-US" w:eastAsia="zh-CN"/>
        </w:rPr>
        <w:t>2</w:t>
      </w:r>
      <w:r>
        <w:rPr>
          <w:rFonts w:hint="eastAsia" w:eastAsia="仿宋_GB2312"/>
          <w:b/>
          <w:bCs/>
          <w:sz w:val="34"/>
          <w:szCs w:val="32"/>
        </w:rPr>
        <w:t>年第</w:t>
      </w:r>
      <w:r>
        <w:rPr>
          <w:rFonts w:eastAsia="仿宋_GB2312"/>
          <w:b/>
          <w:bCs/>
          <w:sz w:val="34"/>
          <w:szCs w:val="32"/>
        </w:rPr>
        <w:t>1</w:t>
      </w:r>
      <w:r>
        <w:rPr>
          <w:rFonts w:hint="eastAsia" w:eastAsia="仿宋_GB2312"/>
          <w:b/>
          <w:bCs/>
          <w:sz w:val="34"/>
          <w:szCs w:val="32"/>
        </w:rPr>
        <w:t>号</w:t>
      </w:r>
    </w:p>
    <w:p>
      <w:pPr>
        <w:adjustRightInd w:val="0"/>
        <w:snapToGrid w:val="0"/>
        <w:spacing w:line="600" w:lineRule="exact"/>
        <w:jc w:val="center"/>
        <w:rPr>
          <w:rFonts w:eastAsia="方正小标宋_GBK"/>
          <w:sz w:val="42"/>
          <w:szCs w:val="42"/>
        </w:rPr>
      </w:pPr>
    </w:p>
    <w:p>
      <w:pPr>
        <w:adjustRightInd w:val="0"/>
        <w:snapToGrid w:val="0"/>
        <w:spacing w:line="640" w:lineRule="exact"/>
        <w:jc w:val="center"/>
        <w:rPr>
          <w:rFonts w:eastAsia="方正小标宋_GBK"/>
          <w:sz w:val="42"/>
          <w:szCs w:val="42"/>
        </w:rPr>
      </w:pPr>
    </w:p>
    <w:p>
      <w:pPr>
        <w:adjustRightInd w:val="0"/>
        <w:snapToGrid w:val="0"/>
        <w:spacing w:before="240"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新晃侗族自治县发展和改革局</w:t>
      </w:r>
    </w:p>
    <w:p>
      <w:pPr>
        <w:adjustRightInd w:val="0"/>
        <w:snapToGrid w:val="0"/>
        <w:spacing w:line="640" w:lineRule="exact"/>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关于发布新晃侗族自治县政府定价的经营服务性</w:t>
      </w:r>
    </w:p>
    <w:p>
      <w:pPr>
        <w:adjustRightInd w:val="0"/>
        <w:snapToGrid w:val="0"/>
        <w:spacing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收费目录清单（202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rPr>
        <w:t>年版）的公告</w:t>
      </w:r>
    </w:p>
    <w:p>
      <w:pPr>
        <w:adjustRightInd w:val="0"/>
        <w:snapToGrid w:val="0"/>
        <w:spacing w:line="640" w:lineRule="exact"/>
        <w:jc w:val="left"/>
        <w:rPr>
          <w:rFonts w:eastAsia="仿宋_GB2312"/>
          <w:color w:val="000000"/>
          <w:kern w:val="0"/>
          <w:sz w:val="32"/>
          <w:szCs w:val="32"/>
        </w:rPr>
      </w:pPr>
    </w:p>
    <w:p>
      <w:pPr>
        <w:adjustRightInd w:val="0"/>
        <w:snapToGrid w:val="0"/>
        <w:spacing w:line="640" w:lineRule="exact"/>
        <w:ind w:firstLine="640" w:firstLineChars="200"/>
        <w:rPr>
          <w:rFonts w:eastAsia="仿宋_GB2312"/>
          <w:color w:val="000000"/>
          <w:kern w:val="0"/>
          <w:sz w:val="32"/>
          <w:szCs w:val="32"/>
        </w:rPr>
      </w:pPr>
      <w:r>
        <w:rPr>
          <w:rFonts w:hint="eastAsia" w:eastAsia="仿宋_GB2312"/>
          <w:color w:val="000000"/>
          <w:kern w:val="0"/>
          <w:sz w:val="32"/>
          <w:szCs w:val="32"/>
        </w:rPr>
        <w:t>根据省发改委《关于发布湖南省政府定价的经营服务性收费目录清单的公告》（</w:t>
      </w:r>
      <w:r>
        <w:rPr>
          <w:rFonts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年第</w:t>
      </w:r>
      <w:r>
        <w:rPr>
          <w:rFonts w:hint="eastAsia" w:eastAsia="仿宋_GB2312"/>
          <w:color w:val="000000"/>
          <w:kern w:val="0"/>
          <w:sz w:val="32"/>
          <w:szCs w:val="32"/>
          <w:lang w:val="en-US" w:eastAsia="zh-CN"/>
        </w:rPr>
        <w:t>11</w:t>
      </w:r>
      <w:r>
        <w:rPr>
          <w:rFonts w:hint="eastAsia" w:eastAsia="仿宋_GB2312"/>
          <w:color w:val="000000"/>
          <w:kern w:val="0"/>
          <w:sz w:val="32"/>
          <w:szCs w:val="32"/>
        </w:rPr>
        <w:t>号）、《湖</w:t>
      </w:r>
      <w:r>
        <w:rPr>
          <w:rFonts w:hint="eastAsia" w:eastAsia="仿宋_GB2312"/>
          <w:color w:val="000000"/>
          <w:sz w:val="32"/>
          <w:szCs w:val="32"/>
        </w:rPr>
        <w:t>南省定价目录》</w:t>
      </w:r>
      <w:r>
        <w:rPr>
          <w:rFonts w:hint="eastAsia" w:eastAsia="仿宋_GB2312"/>
          <w:color w:val="000000"/>
          <w:kern w:val="0"/>
          <w:sz w:val="32"/>
          <w:szCs w:val="32"/>
        </w:rPr>
        <w:t>（湘发改价调〔</w:t>
      </w:r>
      <w:r>
        <w:rPr>
          <w:rFonts w:eastAsia="仿宋_GB2312"/>
          <w:color w:val="000000"/>
          <w:kern w:val="0"/>
          <w:sz w:val="32"/>
          <w:szCs w:val="32"/>
        </w:rPr>
        <w:t>20</w:t>
      </w:r>
      <w:r>
        <w:rPr>
          <w:rFonts w:hint="eastAsia" w:eastAsia="仿宋_GB2312"/>
          <w:color w:val="000000"/>
          <w:kern w:val="0"/>
          <w:sz w:val="32"/>
          <w:szCs w:val="32"/>
          <w:lang w:val="en-US" w:eastAsia="zh-CN"/>
        </w:rPr>
        <w:t>21</w:t>
      </w:r>
      <w:r>
        <w:rPr>
          <w:rFonts w:hint="eastAsia" w:eastAsia="仿宋_GB2312"/>
          <w:color w:val="000000"/>
          <w:kern w:val="0"/>
          <w:sz w:val="32"/>
          <w:szCs w:val="32"/>
        </w:rPr>
        <w:t>〕</w:t>
      </w:r>
      <w:r>
        <w:rPr>
          <w:rFonts w:eastAsia="仿宋_GB2312"/>
          <w:color w:val="000000"/>
          <w:kern w:val="0"/>
          <w:sz w:val="32"/>
          <w:szCs w:val="32"/>
        </w:rPr>
        <w:t>1</w:t>
      </w:r>
      <w:r>
        <w:rPr>
          <w:rFonts w:hint="eastAsia" w:eastAsia="仿宋_GB2312"/>
          <w:color w:val="000000"/>
          <w:kern w:val="0"/>
          <w:sz w:val="32"/>
          <w:szCs w:val="32"/>
          <w:lang w:val="en-US" w:eastAsia="zh-CN"/>
        </w:rPr>
        <w:t>31</w:t>
      </w:r>
      <w:r>
        <w:rPr>
          <w:rFonts w:hint="eastAsia" w:eastAsia="仿宋_GB2312"/>
          <w:color w:val="000000"/>
          <w:kern w:val="0"/>
          <w:sz w:val="32"/>
          <w:szCs w:val="32"/>
        </w:rPr>
        <w:t>号）、《怀化市政府定价的经营服务性收费目录清单（</w:t>
      </w:r>
      <w:r>
        <w:rPr>
          <w:rFonts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年版）的公告》（</w:t>
      </w:r>
      <w:r>
        <w:rPr>
          <w:rFonts w:eastAsia="仿宋_GB2312"/>
          <w:color w:val="000000"/>
          <w:kern w:val="0"/>
          <w:sz w:val="32"/>
          <w:szCs w:val="32"/>
        </w:rPr>
        <w:t>202</w:t>
      </w:r>
      <w:r>
        <w:rPr>
          <w:rFonts w:hint="eastAsia" w:eastAsia="仿宋_GB2312"/>
          <w:color w:val="000000"/>
          <w:kern w:val="0"/>
          <w:sz w:val="32"/>
          <w:szCs w:val="32"/>
          <w:lang w:val="en-US" w:eastAsia="zh-CN"/>
        </w:rPr>
        <w:t>2</w:t>
      </w:r>
      <w:r>
        <w:rPr>
          <w:rFonts w:hint="eastAsia" w:eastAsia="仿宋_GB2312"/>
          <w:color w:val="000000"/>
          <w:kern w:val="0"/>
          <w:sz w:val="32"/>
          <w:szCs w:val="32"/>
        </w:rPr>
        <w:t>年第</w:t>
      </w:r>
      <w:r>
        <w:rPr>
          <w:rFonts w:hint="eastAsia" w:eastAsia="仿宋_GB2312"/>
          <w:color w:val="000000"/>
          <w:kern w:val="0"/>
          <w:sz w:val="32"/>
          <w:szCs w:val="32"/>
          <w:lang w:val="en-US" w:eastAsia="zh-CN"/>
        </w:rPr>
        <w:t>1</w:t>
      </w:r>
      <w:r>
        <w:rPr>
          <w:rFonts w:hint="eastAsia" w:eastAsia="仿宋_GB2312"/>
          <w:color w:val="000000"/>
          <w:kern w:val="0"/>
          <w:sz w:val="32"/>
          <w:szCs w:val="32"/>
        </w:rPr>
        <w:t>号）的有关规定，</w:t>
      </w:r>
      <w:r>
        <w:rPr>
          <w:rFonts w:hint="eastAsia" w:eastAsia="仿宋_GB2312"/>
          <w:color w:val="000000"/>
          <w:kern w:val="0"/>
          <w:sz w:val="32"/>
          <w:szCs w:val="32"/>
          <w:lang w:eastAsia="zh-CN"/>
        </w:rPr>
        <w:t>以及省市收费政策调整情况，</w:t>
      </w:r>
      <w:r>
        <w:rPr>
          <w:rFonts w:hint="eastAsia" w:eastAsia="仿宋_GB2312"/>
          <w:color w:val="000000"/>
          <w:kern w:val="0"/>
          <w:sz w:val="32"/>
          <w:szCs w:val="32"/>
        </w:rPr>
        <w:t>结合我县实际，我局对</w:t>
      </w:r>
      <w:r>
        <w:rPr>
          <w:rFonts w:hint="eastAsia" w:eastAsia="仿宋_GB2312"/>
          <w:color w:val="000000"/>
          <w:kern w:val="0"/>
          <w:sz w:val="32"/>
          <w:szCs w:val="32"/>
          <w:lang w:eastAsia="zh-CN"/>
        </w:rPr>
        <w:t>《</w:t>
      </w:r>
      <w:r>
        <w:rPr>
          <w:rFonts w:hint="eastAsia" w:eastAsia="仿宋_GB2312"/>
          <w:color w:val="000000"/>
          <w:kern w:val="0"/>
          <w:sz w:val="32"/>
          <w:szCs w:val="32"/>
        </w:rPr>
        <w:t>新晃侗族自治县政府定价的经营服务性收费</w:t>
      </w:r>
      <w:r>
        <w:rPr>
          <w:rFonts w:hint="eastAsia" w:eastAsia="仿宋_GB2312"/>
          <w:color w:val="000000"/>
          <w:kern w:val="0"/>
          <w:sz w:val="32"/>
          <w:szCs w:val="32"/>
          <w:lang w:eastAsia="zh-CN"/>
        </w:rPr>
        <w:t>目录清单</w:t>
      </w:r>
      <w:r>
        <w:rPr>
          <w:rFonts w:hint="eastAsia" w:eastAsia="仿宋_GB2312"/>
          <w:color w:val="000000"/>
          <w:kern w:val="0"/>
          <w:sz w:val="32"/>
          <w:szCs w:val="32"/>
        </w:rPr>
        <w:t>（</w:t>
      </w:r>
      <w:r>
        <w:rPr>
          <w:rFonts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年版）</w:t>
      </w:r>
      <w:r>
        <w:rPr>
          <w:rFonts w:hint="eastAsia" w:eastAsia="仿宋_GB2312"/>
          <w:color w:val="000000"/>
          <w:kern w:val="0"/>
          <w:sz w:val="32"/>
          <w:szCs w:val="32"/>
          <w:lang w:eastAsia="zh-CN"/>
        </w:rPr>
        <w:t>》</w:t>
      </w:r>
      <w:r>
        <w:rPr>
          <w:rFonts w:hint="eastAsia" w:eastAsia="仿宋_GB2312"/>
          <w:color w:val="000000"/>
          <w:kern w:val="0"/>
          <w:sz w:val="32"/>
          <w:szCs w:val="32"/>
        </w:rPr>
        <w:t>进行了</w:t>
      </w:r>
      <w:r>
        <w:rPr>
          <w:rFonts w:hint="eastAsia" w:eastAsia="仿宋_GB2312"/>
          <w:color w:val="000000"/>
          <w:kern w:val="0"/>
          <w:sz w:val="32"/>
          <w:szCs w:val="32"/>
          <w:lang w:eastAsia="zh-CN"/>
        </w:rPr>
        <w:t>修订</w:t>
      </w:r>
      <w:r>
        <w:rPr>
          <w:rFonts w:hint="eastAsia" w:eastAsia="仿宋_GB2312"/>
          <w:color w:val="000000"/>
          <w:kern w:val="0"/>
          <w:sz w:val="32"/>
          <w:szCs w:val="32"/>
        </w:rPr>
        <w:t>，现予以公</w:t>
      </w:r>
      <w:r>
        <w:rPr>
          <w:rFonts w:hint="eastAsia" w:eastAsia="仿宋_GB2312"/>
          <w:color w:val="000000"/>
          <w:kern w:val="0"/>
          <w:sz w:val="32"/>
          <w:szCs w:val="32"/>
          <w:lang w:eastAsia="zh-CN"/>
        </w:rPr>
        <w:t>布</w:t>
      </w:r>
      <w:r>
        <w:rPr>
          <w:rFonts w:hint="eastAsia" w:eastAsia="仿宋_GB2312"/>
          <w:color w:val="000000"/>
          <w:kern w:val="0"/>
          <w:sz w:val="32"/>
          <w:szCs w:val="32"/>
        </w:rPr>
        <w:t>。</w:t>
      </w:r>
    </w:p>
    <w:p>
      <w:pPr>
        <w:adjustRightInd w:val="0"/>
        <w:snapToGrid w:val="0"/>
        <w:spacing w:line="640" w:lineRule="exact"/>
        <w:jc w:val="left"/>
        <w:rPr>
          <w:rFonts w:eastAsia="仿宋_GB2312"/>
          <w:color w:val="000000"/>
          <w:kern w:val="0"/>
          <w:sz w:val="32"/>
          <w:szCs w:val="32"/>
        </w:rPr>
      </w:pPr>
      <w:r>
        <w:rPr>
          <w:rFonts w:hint="eastAsia" w:eastAsia="仿宋_GB2312"/>
          <w:color w:val="000000"/>
          <w:kern w:val="0"/>
          <w:sz w:val="32"/>
          <w:szCs w:val="32"/>
        </w:rPr>
        <w:t>本公告自发布之日起执行，</w:t>
      </w:r>
      <w:r>
        <w:rPr>
          <w:rFonts w:hint="eastAsia" w:eastAsia="仿宋_GB2312"/>
          <w:color w:val="000000"/>
          <w:kern w:val="0"/>
          <w:sz w:val="32"/>
          <w:szCs w:val="32"/>
          <w:lang w:eastAsia="zh-CN"/>
        </w:rPr>
        <w:t>新晃侗族自治县发展和改革局公告</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hint="eastAsia" w:eastAsia="仿宋_GB2312"/>
          <w:color w:val="000000"/>
          <w:kern w:val="0"/>
          <w:sz w:val="32"/>
          <w:szCs w:val="32"/>
        </w:rPr>
        <w:t>年第</w:t>
      </w:r>
      <w:r>
        <w:rPr>
          <w:rFonts w:eastAsia="仿宋_GB2312"/>
          <w:color w:val="000000"/>
          <w:kern w:val="0"/>
          <w:sz w:val="32"/>
          <w:szCs w:val="32"/>
        </w:rPr>
        <w:t>1</w:t>
      </w:r>
      <w:r>
        <w:rPr>
          <w:rFonts w:hint="eastAsia" w:eastAsia="仿宋_GB2312"/>
          <w:color w:val="000000"/>
          <w:kern w:val="0"/>
          <w:sz w:val="32"/>
          <w:szCs w:val="32"/>
        </w:rPr>
        <w:t>号同时废止。</w:t>
      </w:r>
    </w:p>
    <w:p>
      <w:pPr>
        <w:pStyle w:val="4"/>
        <w:spacing w:before="0" w:beforeAutospacing="0" w:after="0" w:line="640" w:lineRule="exact"/>
        <w:rPr>
          <w:rFonts w:ascii="Times New Roman" w:hAnsi="Times New Roman" w:eastAsia="仿宋_GB2312" w:cs="Times New Roman"/>
          <w:color w:val="000000"/>
          <w:sz w:val="32"/>
          <w:szCs w:val="32"/>
        </w:rPr>
      </w:pPr>
    </w:p>
    <w:p>
      <w:pPr>
        <w:pStyle w:val="4"/>
        <w:spacing w:before="0" w:beforeAutospacing="0" w:after="0" w:line="640" w:lineRule="exact"/>
        <w:ind w:left="1438" w:leftChars="304" w:hanging="800" w:hangingChars="25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附件：新晃侗族自治县政府定价的经营服务性收费目录清单（</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年版）</w:t>
      </w:r>
    </w:p>
    <w:p>
      <w:pPr>
        <w:adjustRightInd w:val="0"/>
        <w:snapToGrid w:val="0"/>
        <w:spacing w:line="640" w:lineRule="exact"/>
        <w:rPr>
          <w:rFonts w:eastAsia="仿宋_GB2312"/>
          <w:color w:val="000000"/>
          <w:sz w:val="32"/>
          <w:szCs w:val="32"/>
        </w:rPr>
      </w:pPr>
    </w:p>
    <w:p>
      <w:pPr>
        <w:adjustRightInd w:val="0"/>
        <w:snapToGrid w:val="0"/>
        <w:spacing w:line="640" w:lineRule="exact"/>
        <w:ind w:firstLine="4198" w:firstLineChars="1312"/>
        <w:rPr>
          <w:rFonts w:eastAsia="仿宋_GB2312"/>
          <w:color w:val="000000"/>
          <w:sz w:val="32"/>
          <w:szCs w:val="32"/>
        </w:rPr>
      </w:pPr>
    </w:p>
    <w:p>
      <w:pPr>
        <w:adjustRightInd w:val="0"/>
        <w:snapToGrid w:val="0"/>
        <w:spacing w:line="640" w:lineRule="exact"/>
        <w:ind w:firstLine="4198" w:firstLineChars="1312"/>
        <w:rPr>
          <w:rFonts w:eastAsia="仿宋_GB2312"/>
          <w:color w:val="000000"/>
          <w:sz w:val="32"/>
          <w:szCs w:val="32"/>
        </w:rPr>
      </w:pPr>
      <w:r>
        <w:rPr>
          <w:rFonts w:hint="eastAsia" w:eastAsia="仿宋_GB2312"/>
          <w:color w:val="000000"/>
          <w:sz w:val="32"/>
          <w:szCs w:val="32"/>
        </w:rPr>
        <w:t>新晃侗族自治县发展和改革局</w:t>
      </w:r>
    </w:p>
    <w:p>
      <w:pPr>
        <w:adjustRightInd w:val="0"/>
        <w:snapToGrid w:val="0"/>
        <w:spacing w:line="640" w:lineRule="exact"/>
        <w:ind w:firstLine="4617" w:firstLineChars="1443"/>
        <w:rPr>
          <w:rFonts w:eastAsia="仿宋_GB2312"/>
          <w:color w:val="000000"/>
          <w:sz w:val="32"/>
          <w:szCs w:val="32"/>
        </w:rPr>
      </w:pPr>
      <w:r>
        <w:rPr>
          <w:rFonts w:hint="eastAsia" w:eastAsia="仿宋_GB2312"/>
          <w:color w:val="000000"/>
          <w:sz w:val="32"/>
          <w:szCs w:val="32"/>
        </w:rPr>
        <w:t>　</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w:t>
      </w:r>
      <w:r>
        <w:rPr>
          <w:rFonts w:hint="eastAsia" w:eastAsia="仿宋_GB2312"/>
          <w:color w:val="000000"/>
          <w:sz w:val="32"/>
          <w:szCs w:val="32"/>
          <w:lang w:val="en-US" w:eastAsia="zh-CN"/>
        </w:rPr>
        <w:t>3</w:t>
      </w:r>
      <w:r>
        <w:rPr>
          <w:rFonts w:hint="eastAsia" w:eastAsia="仿宋_GB2312"/>
          <w:color w:val="000000"/>
          <w:sz w:val="32"/>
          <w:szCs w:val="32"/>
        </w:rPr>
        <w:t>月</w:t>
      </w:r>
      <w:r>
        <w:rPr>
          <w:rFonts w:hint="eastAsia" w:eastAsia="仿宋_GB2312"/>
          <w:color w:val="000000"/>
          <w:sz w:val="32"/>
          <w:szCs w:val="32"/>
          <w:lang w:val="en-US" w:eastAsia="zh-CN"/>
        </w:rPr>
        <w:t>1</w:t>
      </w:r>
      <w:r>
        <w:rPr>
          <w:rFonts w:eastAsia="仿宋_GB2312"/>
          <w:color w:val="000000"/>
          <w:sz w:val="32"/>
          <w:szCs w:val="32"/>
        </w:rPr>
        <w:t>0</w:t>
      </w:r>
      <w:r>
        <w:rPr>
          <w:rFonts w:hint="eastAsia" w:eastAsia="仿宋_GB2312"/>
          <w:color w:val="000000"/>
          <w:sz w:val="32"/>
          <w:szCs w:val="32"/>
        </w:rPr>
        <w:t>日</w:t>
      </w:r>
    </w:p>
    <w:p>
      <w:pPr>
        <w:adjustRightInd w:val="0"/>
        <w:snapToGrid w:val="0"/>
        <w:spacing w:line="560" w:lineRule="exact"/>
        <w:ind w:firstLine="4617" w:firstLineChars="1443"/>
        <w:rPr>
          <w:rFonts w:eastAsia="仿宋_GB2312"/>
          <w:sz w:val="32"/>
          <w:szCs w:val="32"/>
        </w:rPr>
      </w:pPr>
    </w:p>
    <w:p>
      <w:pPr>
        <w:adjustRightInd w:val="0"/>
        <w:snapToGrid w:val="0"/>
        <w:spacing w:line="560" w:lineRule="exact"/>
        <w:ind w:firstLine="4617" w:firstLineChars="1443"/>
        <w:rPr>
          <w:rFonts w:eastAsia="仿宋_GB2312"/>
          <w:sz w:val="32"/>
          <w:szCs w:val="32"/>
        </w:rPr>
      </w:pPr>
    </w:p>
    <w:p>
      <w:pPr>
        <w:adjustRightInd w:val="0"/>
        <w:snapToGrid w:val="0"/>
        <w:spacing w:line="560" w:lineRule="exact"/>
        <w:ind w:firstLine="4617" w:firstLineChars="1443"/>
        <w:rPr>
          <w:rFonts w:eastAsia="仿宋_GB2312"/>
          <w:sz w:val="32"/>
          <w:szCs w:val="32"/>
        </w:rPr>
      </w:pPr>
    </w:p>
    <w:p>
      <w:pPr>
        <w:adjustRightInd w:val="0"/>
        <w:snapToGrid w:val="0"/>
        <w:spacing w:line="560" w:lineRule="exact"/>
        <w:ind w:firstLine="4617" w:firstLineChars="1443"/>
        <w:rPr>
          <w:rFonts w:eastAsia="仿宋_GB2312"/>
          <w:sz w:val="32"/>
          <w:szCs w:val="32"/>
        </w:rPr>
      </w:pPr>
    </w:p>
    <w:p>
      <w:pPr>
        <w:adjustRightInd w:val="0"/>
        <w:snapToGrid w:val="0"/>
        <w:spacing w:line="560" w:lineRule="exact"/>
        <w:ind w:firstLine="4617" w:firstLineChars="1443"/>
        <w:rPr>
          <w:rFonts w:eastAsia="仿宋_GB2312"/>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sectPr>
          <w:footerReference r:id="rId3" w:type="default"/>
          <w:footerReference r:id="rId4" w:type="even"/>
          <w:pgSz w:w="11906" w:h="16838"/>
          <w:pgMar w:top="2098" w:right="1418" w:bottom="1531" w:left="1418" w:header="851" w:footer="1418" w:gutter="0"/>
          <w:pgBorders>
            <w:top w:val="none" w:sz="0" w:space="0"/>
            <w:left w:val="none" w:sz="0" w:space="0"/>
            <w:bottom w:val="none" w:sz="0" w:space="0"/>
            <w:right w:val="none" w:sz="0" w:space="0"/>
          </w:pgBorders>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细黑一简体" w:hAnsi="方正细黑一简体" w:eastAsia="方正细黑一简体" w:cs="方正细黑一简体"/>
          <w:sz w:val="32"/>
          <w:szCs w:val="32"/>
        </w:rPr>
      </w:pPr>
      <w:r>
        <w:rPr>
          <w:rFonts w:hint="eastAsia" w:ascii="方正细黑一简体" w:hAnsi="方正细黑一简体" w:eastAsia="方正细黑一简体" w:cs="方正细黑一简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新晃侗族自治县政府定价的经营服务性收费目录清单(2021年版)</w:t>
      </w:r>
    </w:p>
    <w:tbl>
      <w:tblPr>
        <w:tblStyle w:val="5"/>
        <w:tblW w:w="15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15"/>
        <w:gridCol w:w="1184"/>
        <w:gridCol w:w="2336"/>
        <w:gridCol w:w="2962"/>
        <w:gridCol w:w="2558"/>
        <w:gridCol w:w="1055"/>
        <w:gridCol w:w="1152"/>
        <w:gridCol w:w="566"/>
        <w:gridCol w:w="698"/>
        <w:gridCol w:w="600"/>
        <w:gridCol w:w="892"/>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8" w:hRule="atLeast"/>
          <w:tblHeader/>
          <w:jc w:val="center"/>
        </w:trPr>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类型</w:t>
            </w:r>
          </w:p>
        </w:tc>
        <w:tc>
          <w:tcPr>
            <w:tcW w:w="1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一级项目</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二级项目</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收费标准</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收费文件（文号）</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定价部门</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行业主管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部门</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涉企</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是否行政审批前置</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是否涉进出口环节</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定价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方法</w:t>
            </w:r>
          </w:p>
        </w:tc>
        <w:tc>
          <w:tcPr>
            <w:tcW w:w="5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3" w:hRule="atLeast"/>
          <w:jc w:val="center"/>
        </w:trPr>
        <w:tc>
          <w:tcPr>
            <w:tcW w:w="61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交通 服务 收费 </w:t>
            </w:r>
          </w:p>
        </w:tc>
        <w:tc>
          <w:tcPr>
            <w:tcW w:w="1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一、机动车停放服务收费</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（一）国家机关、社会团体及其他公益、公用企事业单位（医院、学校、博物馆、图书馆、青少年宫、体育场馆、银行、保险、电信、供水、供电、供气等）面向公众开放的内设停车场；</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实行计时收费的，30分钟（含30分钟）内免费，每小时5元，不足1小时按1小时收费。</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具体收费标准见相关文件。</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湘发改价费规〔2020〕801号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湘发改价调规〔2021〕131号 </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县公安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交警支队</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准许成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本加合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6"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6"/>
                <w:szCs w:val="16"/>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（二）政府财政性资金投资的停车场和市政工程附属停车场；</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实行计时收费的，30分钟（含30分钟）内免费，每小时5元，不足1小时按1小时收费。</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具体收费标准见相关文件。</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湘发改价费规〔2020〕801号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湘发改价调规〔2021〕131号 </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县公安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交警支队</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准许成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本加合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4"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6"/>
                <w:szCs w:val="16"/>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（三）保障性住房中产权为当地政府的廉租房、公租房的内设停车场；</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实行计时收费的，1小时（含1小时）内免费，每小时5元，不足1小时按1小时收费。</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具体收费标准见相关文件。</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湘发改价费规〔2020〕801号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湘发改价调规〔2021〕131号 </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县公安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交警支队</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准许成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本加合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55"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6"/>
                <w:szCs w:val="16"/>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（四）道路临时停车泊位</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湘发改价费规〔2020〕801号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湘发改价调规〔2021〕131号</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县公安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交警支队</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3"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二、汽车客运站服务收费</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（一）车辆站务基本服务收费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客运站客运代理收费按客运运费的比例及客运站等级，一甲10%，二甲8%，三甲6%。一乙9.5%，二乙7.5%，三乙5.5%。一丙9%，二丙7%，三丙、四级、五级和简易站5%。旅客站务费：每人每次1-2元；客车发班费：按票价不超过6%；车辆安全服务费：每辆每次5-10元；停车费：每次5-20元</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具体收费标准见相关文件。</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湘发改价调规〔2021〕107号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湘发改价调规〔2021〕131号 怀市价[2014]121号</w:t>
            </w:r>
          </w:p>
        </w:tc>
        <w:tc>
          <w:tcPr>
            <w:tcW w:w="105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县交通运输局</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6"/>
                <w:szCs w:val="16"/>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（二）旅客基本服务收费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补票手续费：主动补票：每张票0.5元；退票费：按票面金额10%-30%。</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具体收费标准见相关文件。</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湘发改价调规〔2021〕131号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怀市价[2014]121号</w:t>
            </w:r>
          </w:p>
        </w:tc>
        <w:tc>
          <w:tcPr>
            <w:tcW w:w="105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61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公用事业服务收费</w:t>
            </w:r>
          </w:p>
        </w:tc>
        <w:tc>
          <w:tcPr>
            <w:tcW w:w="1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三、居民燃气工程安装费</w:t>
            </w:r>
          </w:p>
        </w:tc>
        <w:tc>
          <w:tcPr>
            <w:tcW w:w="23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每户不超过2100元/户</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晃价字〔2013〕9号</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县住房和城乡建设部门</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06"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四、污水处理费（按经营服务性收费管理的）</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（一）居民污水处理费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随水计征,每立方米1.00元。</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晃发改价字〔2016〕5号</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    县财政局     县城市管理和行政执法局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县城市管理和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行政执法局</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6"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（二）非居民污水处理费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随水计征,每立方米1.20元。</w:t>
            </w:r>
          </w:p>
        </w:tc>
        <w:tc>
          <w:tcPr>
            <w:tcW w:w="25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晃发改价字〔2016〕5号</w:t>
            </w:r>
          </w:p>
        </w:tc>
        <w:tc>
          <w:tcPr>
            <w:tcW w:w="10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    县财政局     县城市管理和行政执法局</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县城市管理和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行政执法局</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五、垃圾处理费</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（一）城镇生活垃圾处理费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城市居民、暂居人口、农村进城定居人口每月每立方米用水0.3元随水计征。</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其他收费标准见相关文件。</w:t>
            </w:r>
          </w:p>
        </w:tc>
        <w:tc>
          <w:tcPr>
            <w:tcW w:w="255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晃价字（2011）32号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晃价字（2015）22号</w:t>
            </w:r>
          </w:p>
        </w:tc>
        <w:tc>
          <w:tcPr>
            <w:tcW w:w="105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县发改局</w:t>
            </w:r>
          </w:p>
        </w:tc>
        <w:tc>
          <w:tcPr>
            <w:tcW w:w="11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县城市管理和行政执法局</w:t>
            </w: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（二）城区建筑垃圾和工程渣土服务收费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具体收费标准见相关文件。</w:t>
            </w:r>
          </w:p>
        </w:tc>
        <w:tc>
          <w:tcPr>
            <w:tcW w:w="255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 w:hRule="atLeast"/>
          <w:jc w:val="center"/>
        </w:trPr>
        <w:tc>
          <w:tcPr>
            <w:tcW w:w="61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 特定 服务 收费</w:t>
            </w:r>
          </w:p>
        </w:tc>
        <w:tc>
          <w:tcPr>
            <w:tcW w:w="1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六、住房物业管理费</w:t>
            </w: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（一）保障性住房物业服务收费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保障性住房物业服务收费最高不得超过二级物业服务收费基准价（多层无电梯楼0.80元/平方米·月，电梯楼1.40元/平方米·月）。</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具体收费标准见相关文件。</w:t>
            </w:r>
          </w:p>
        </w:tc>
        <w:tc>
          <w:tcPr>
            <w:tcW w:w="255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怀发改价服〔2019〕16号</w:t>
            </w:r>
          </w:p>
        </w:tc>
        <w:tc>
          <w:tcPr>
            <w:tcW w:w="105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县发改局     县住房和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城乡建设局</w:t>
            </w:r>
          </w:p>
        </w:tc>
        <w:tc>
          <w:tcPr>
            <w:tcW w:w="11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县住房和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城乡建设局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县住房保障服务中心</w:t>
            </w:r>
          </w:p>
        </w:tc>
        <w:tc>
          <w:tcPr>
            <w:tcW w:w="56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9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9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准许成本加合理收益</w:t>
            </w:r>
          </w:p>
        </w:tc>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61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23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（二）普通商品住宅前期物业服务收费</w:t>
            </w:r>
          </w:p>
        </w:tc>
        <w:tc>
          <w:tcPr>
            <w:tcW w:w="29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1、多层无电梯楼分等级基准价：一级0.65元/平方米·月，二级0.80元/平方米·月，三级0.95元/平方米·月，四级1.30元/平方米·月，五级1.50元/平方米·月；</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2、电梯楼分等级基准价：一级1.20元/平方米·月，二级1.40元/平方米·月，三级1.60元/平方米·月，四级1.80元/平方米·月，五级2.00元/平方米·月。</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具体收费标准见相关文件。    </w:t>
            </w:r>
          </w:p>
        </w:tc>
        <w:tc>
          <w:tcPr>
            <w:tcW w:w="255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6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 1、政府定价的经营服务性收费目录清单根据收费政策的变化实行动态调整；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2、本目录清单限于政府定价的经营服务性收费项目；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3、上述政府定价经营服务性收费项目和标准，更新时间截止到2021年12月底。</w:t>
      </w:r>
    </w:p>
    <w:sectPr>
      <w:pgSz w:w="16838" w:h="11906" w:orient="landscape"/>
      <w:pgMar w:top="1418" w:right="964" w:bottom="1134" w:left="964" w:header="851" w:footer="964" w:gutter="0"/>
      <w:pgBorders>
        <w:top w:val="none" w:sz="0" w:space="0"/>
        <w:left w:val="none" w:sz="0" w:space="0"/>
        <w:bottom w:val="none" w:sz="0" w:space="0"/>
        <w:right w:val="none" w:sz="0" w:space="0"/>
      </w:pgBorders>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细黑一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jc w:val="center"/>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832AA"/>
    <w:rsid w:val="00046525"/>
    <w:rsid w:val="00136B51"/>
    <w:rsid w:val="001F5581"/>
    <w:rsid w:val="00431AB8"/>
    <w:rsid w:val="004B38AF"/>
    <w:rsid w:val="004F11C5"/>
    <w:rsid w:val="007D4522"/>
    <w:rsid w:val="008748C4"/>
    <w:rsid w:val="00A10C43"/>
    <w:rsid w:val="00A869CA"/>
    <w:rsid w:val="00AE72CC"/>
    <w:rsid w:val="00C17BCB"/>
    <w:rsid w:val="00CE78B0"/>
    <w:rsid w:val="00FC192C"/>
    <w:rsid w:val="27A44BC9"/>
    <w:rsid w:val="27CE6461"/>
    <w:rsid w:val="296A01AA"/>
    <w:rsid w:val="3C386D1C"/>
    <w:rsid w:val="43D7382B"/>
    <w:rsid w:val="49907DD3"/>
    <w:rsid w:val="4BDE40C8"/>
    <w:rsid w:val="4EC67587"/>
    <w:rsid w:val="73E832AA"/>
    <w:rsid w:val="782E14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19"/>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374</Words>
  <Characters>2137</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2020-12-21T00:39:00Z</dcterms:created>
  <dc:creator>易子</dc:creator>
  <cp:lastModifiedBy>Administrator</cp:lastModifiedBy>
  <cp:lastPrinted>2022-03-10T03:12:00Z</cp:lastPrinted>
  <dcterms:modified xsi:type="dcterms:W3CDTF">2022-03-11T02:29:06Z</dcterms:modified>
  <dc:title>新晃侗族自治县发展和改革局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C4E6D00E46BA40AEAB9927AE162D1EB3</vt:lpwstr>
  </property>
</Properties>
</file>