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C1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  <w:lang w:val="en-US" w:eastAsia="zh-CN"/>
        </w:rPr>
        <w:t>4</w:t>
      </w:r>
    </w:p>
    <w:p w14:paraId="14166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7546F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中寨烈士纪念碑保护范围概况</w:t>
      </w:r>
    </w:p>
    <w:p w14:paraId="1167F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2EC41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一、设施名称：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中寨烈士纪念碑</w:t>
      </w:r>
    </w:p>
    <w:p w14:paraId="6853D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二、设施地址：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新晃县中寨镇街背</w:t>
      </w:r>
    </w:p>
    <w:p w14:paraId="6B8D4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三、主管部门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新晃侗族自治县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退役军人事务局</w:t>
      </w:r>
    </w:p>
    <w:p w14:paraId="556DC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四、保护单位：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新晃侗族自治县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中寨镇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人民政府</w:t>
      </w:r>
    </w:p>
    <w:p w14:paraId="120F9D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五、保护级别：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县级</w:t>
      </w:r>
    </w:p>
    <w:p w14:paraId="37D2B45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六、保护范围：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以宗地图界址坐标连线为保护范围边线，即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东至便道，与路为界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南至杨序高土地，与土埂为界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西至杨天清土地，与土埂、路为界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北至杨天敬土地，与土埂为界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保护范围土地面积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96.64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平方米。</w:t>
      </w:r>
    </w:p>
    <w:p w14:paraId="19C57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七、保护范围图：</w:t>
      </w:r>
    </w:p>
    <w:p w14:paraId="5987F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7D5BB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30E86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677C4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6EA2F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5AB48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303DC1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DA63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11430</wp:posOffset>
            </wp:positionV>
            <wp:extent cx="5612130" cy="4080510"/>
            <wp:effectExtent l="0" t="0" r="11430" b="3810"/>
            <wp:wrapNone/>
            <wp:docPr id="1" name="图片 1" descr="中寨烈士纪念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寨烈士纪念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7C72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54C45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756F2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3B11FA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A6AA8"/>
    <w:rsid w:val="63E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201</Characters>
  <Lines>0</Lines>
  <Paragraphs>0</Paragraphs>
  <TotalTime>0</TotalTime>
  <ScaleCrop>false</ScaleCrop>
  <LinksUpToDate>false</LinksUpToDate>
  <CharactersWithSpaces>202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2024-12-04T08:26:00Z</dcterms:created>
  <dc:creator>Administrator</dc:creator>
  <cp:lastModifiedBy>微微胖哥</cp:lastModifiedBy>
  <dcterms:modified xsi:type="dcterms:W3CDTF">2024-12-04T08:32:47Z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3F6A58669C7C4E0CA166F4F056C41AB6_12</vt:lpwstr>
  </property>
</Properties>
</file>